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78" w:rsidRDefault="00224B78" w:rsidP="00224B78">
      <w:pPr>
        <w:widowControl/>
        <w:spacing w:line="560" w:lineRule="exact"/>
        <w:jc w:val="left"/>
        <w:rPr>
          <w:rFonts w:ascii="仿宋_GB2312" w:eastAsia="仿宋_GB2312" w:hAnsi="宋体" w:cs="仿宋"/>
          <w:color w:val="000000"/>
          <w:sz w:val="32"/>
          <w:szCs w:val="32"/>
        </w:rPr>
      </w:pPr>
      <w:r w:rsidRPr="00B648E1">
        <w:rPr>
          <w:rFonts w:ascii="仿宋_GB2312" w:eastAsia="仿宋_GB2312" w:hAnsi="宋体" w:cs="仿宋" w:hint="eastAsia"/>
          <w:color w:val="000000"/>
          <w:sz w:val="32"/>
          <w:szCs w:val="32"/>
        </w:rPr>
        <w:t>附件1</w:t>
      </w:r>
    </w:p>
    <w:p w:rsidR="00224B78" w:rsidRDefault="00224B78" w:rsidP="00224B78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224B78" w:rsidRPr="00BA6E7B" w:rsidRDefault="00224B78" w:rsidP="00224B78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BA6E7B">
        <w:rPr>
          <w:rFonts w:ascii="方正小标宋简体" w:eastAsia="方正小标宋简体" w:hAnsi="仿宋_GB2312" w:cs="仿宋_GB2312" w:hint="eastAsia"/>
          <w:sz w:val="44"/>
          <w:szCs w:val="44"/>
        </w:rPr>
        <w:t>ICH M4通用技术文件(CTD)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指导原则</w:t>
      </w:r>
    </w:p>
    <w:p w:rsidR="00224B78" w:rsidRDefault="00224B78" w:rsidP="00224B78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A6E7B">
        <w:rPr>
          <w:rFonts w:ascii="方正小标宋简体" w:eastAsia="方正小标宋简体" w:hAnsi="仿宋_GB2312" w:cs="仿宋_GB2312" w:hint="eastAsia"/>
          <w:sz w:val="44"/>
          <w:szCs w:val="44"/>
        </w:rPr>
        <w:t>研讨会初步日程</w:t>
      </w:r>
    </w:p>
    <w:p w:rsidR="00224B78" w:rsidRPr="00BA6E7B" w:rsidRDefault="00224B78" w:rsidP="00224B78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8671" w:type="dxa"/>
        <w:jc w:val="center"/>
        <w:tblInd w:w="-1026" w:type="dxa"/>
        <w:tblLook w:val="04A0"/>
      </w:tblPr>
      <w:tblGrid>
        <w:gridCol w:w="1442"/>
        <w:gridCol w:w="3709"/>
        <w:gridCol w:w="3520"/>
      </w:tblGrid>
      <w:tr w:rsidR="00224B78" w:rsidRPr="00BA6E7B" w:rsidTr="00F24A50">
        <w:trPr>
          <w:trHeight w:val="562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  <w:hideMark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议题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  <w:hideMark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讲者</w:t>
            </w:r>
          </w:p>
        </w:tc>
      </w:tr>
      <w:tr w:rsidR="00224B78" w:rsidRPr="00BA6E7B" w:rsidTr="00F24A50">
        <w:trPr>
          <w:trHeight w:val="501"/>
          <w:jc w:val="center"/>
        </w:trPr>
        <w:tc>
          <w:tcPr>
            <w:tcW w:w="8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</w:rPr>
              <w:t>9月7日下午</w:t>
            </w:r>
          </w:p>
        </w:tc>
      </w:tr>
      <w:tr w:rsidR="00224B78" w:rsidRPr="00BA6E7B" w:rsidTr="00F24A50">
        <w:trPr>
          <w:trHeight w:val="790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开幕致词；我国实施ICH M4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(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/CTD)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的背景介绍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总局/CDE相关领导</w:t>
            </w:r>
          </w:p>
        </w:tc>
      </w:tr>
      <w:tr w:rsidR="00224B78" w:rsidRPr="00BA6E7B" w:rsidTr="00F24A50">
        <w:trPr>
          <w:trHeight w:val="790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ICH M4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(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/CTD)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全球实施概况、文件架构和粒度概述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外企相关专家</w:t>
            </w:r>
          </w:p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24B78" w:rsidRPr="00BA6E7B" w:rsidTr="00F24A50">
        <w:trPr>
          <w:trHeight w:val="844"/>
          <w:jc w:val="center"/>
        </w:trPr>
        <w:tc>
          <w:tcPr>
            <w:tcW w:w="8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各国关于I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CH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/CTD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模块1的资料要求</w:t>
            </w:r>
          </w:p>
        </w:tc>
      </w:tr>
      <w:tr w:rsidR="00224B78" w:rsidRPr="00BA6E7B" w:rsidTr="00F24A50">
        <w:trPr>
          <w:trHeight w:val="828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1、我国按M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4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要求申报受理情况概述及监管机构关于通用技术文档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/CTD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模块1申报资料的考虑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药审中心专家</w:t>
            </w:r>
          </w:p>
        </w:tc>
      </w:tr>
      <w:tr w:rsidR="00224B78" w:rsidRPr="00BA6E7B" w:rsidTr="00F24A50">
        <w:trPr>
          <w:trHeight w:val="828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.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美国/欧洲/日本/中国关于通用技术文档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/CTD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模块1申报资料要求的差异及企业撰写经验分享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外企相关专家</w:t>
            </w:r>
          </w:p>
        </w:tc>
      </w:tr>
      <w:tr w:rsidR="00224B78" w:rsidRPr="00BA6E7B" w:rsidTr="00F24A50">
        <w:trPr>
          <w:trHeight w:val="544"/>
          <w:jc w:val="center"/>
        </w:trPr>
        <w:tc>
          <w:tcPr>
            <w:tcW w:w="8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休息</w:t>
            </w:r>
          </w:p>
        </w:tc>
      </w:tr>
      <w:tr w:rsidR="00224B78" w:rsidRPr="00BA6E7B" w:rsidTr="00F24A50">
        <w:trPr>
          <w:trHeight w:val="826"/>
          <w:jc w:val="center"/>
        </w:trPr>
        <w:tc>
          <w:tcPr>
            <w:tcW w:w="8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如何根据I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CH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通用技术文档/ CTD要求组织一份临床资料（模块2和5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,E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）</w:t>
            </w:r>
          </w:p>
        </w:tc>
      </w:tr>
      <w:tr w:rsidR="00224B78" w:rsidRPr="00BA6E7B" w:rsidTr="00F24A50">
        <w:trPr>
          <w:trHeight w:val="826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1、监管机构对CTD临床资料要求的考虑及关注点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药审中心专家</w:t>
            </w:r>
          </w:p>
        </w:tc>
      </w:tr>
      <w:tr w:rsidR="00224B78" w:rsidRPr="00BA6E7B" w:rsidTr="00F24A50">
        <w:trPr>
          <w:trHeight w:val="826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2、企业按照CTD格式和结构要求撰写临床资料的经验与思考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赛诺菲中国研发临床科学运营中心</w:t>
            </w:r>
          </w:p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 xml:space="preserve">临床文件管理部门负责人 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王小玲</w:t>
            </w:r>
          </w:p>
        </w:tc>
      </w:tr>
      <w:tr w:rsidR="00224B78" w:rsidRPr="00BA6E7B" w:rsidTr="00F24A50">
        <w:trPr>
          <w:trHeight w:val="826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3、ICH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M4E中临床概述与临床总结撰写的实践与案例分享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罗氏全球药品研发亚太中心</w:t>
            </w:r>
          </w:p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 xml:space="preserve">肿瘤治疗领域负责人 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   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戚川</w:t>
            </w:r>
          </w:p>
        </w:tc>
      </w:tr>
      <w:tr w:rsidR="00224B78" w:rsidRPr="00BA6E7B" w:rsidTr="00F24A50">
        <w:trPr>
          <w:trHeight w:val="626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问答及讨论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所有讲者</w:t>
            </w:r>
          </w:p>
        </w:tc>
      </w:tr>
    </w:tbl>
    <w:p w:rsidR="00224B78" w:rsidRDefault="00224B78" w:rsidP="00224B78">
      <w:pPr>
        <w:spacing w:line="560" w:lineRule="exact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tbl>
      <w:tblPr>
        <w:tblW w:w="8865" w:type="dxa"/>
        <w:tblLook w:val="04A0"/>
      </w:tblPr>
      <w:tblGrid>
        <w:gridCol w:w="981"/>
        <w:gridCol w:w="4372"/>
        <w:gridCol w:w="3512"/>
      </w:tblGrid>
      <w:tr w:rsidR="00224B78" w:rsidRPr="00BA6E7B" w:rsidTr="00F24A50">
        <w:trPr>
          <w:trHeight w:val="488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lastRenderedPageBreak/>
              <w:t>9月8日上午</w:t>
            </w:r>
          </w:p>
        </w:tc>
      </w:tr>
      <w:tr w:rsidR="00224B78" w:rsidRPr="00BA6E7B" w:rsidTr="00F24A50">
        <w:trPr>
          <w:trHeight w:val="488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议题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9F3890" w:rsidRDefault="00224B78" w:rsidP="00F24A5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讲者</w:t>
            </w:r>
          </w:p>
        </w:tc>
      </w:tr>
      <w:tr w:rsidR="00224B78" w:rsidRPr="00BA6E7B" w:rsidTr="00F24A50">
        <w:trPr>
          <w:trHeight w:val="830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如何根据I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CH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通用技术文档/CTD要求组织一份药学资料（模块2和3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,Q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）</w:t>
            </w:r>
          </w:p>
        </w:tc>
      </w:tr>
      <w:tr w:rsidR="00224B78" w:rsidRPr="00BA6E7B" w:rsidTr="00F24A50">
        <w:trPr>
          <w:trHeight w:val="58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1、监管机构对生物制品C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药学资料要求的考虑及主要关注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药审中心专家</w:t>
            </w:r>
          </w:p>
        </w:tc>
      </w:tr>
      <w:tr w:rsidR="00224B78" w:rsidRPr="00BA6E7B" w:rsidTr="00F24A50">
        <w:trPr>
          <w:trHeight w:val="58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2、企业撰写生物制品药学资料过程中遇到的问题及解决经验分享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 xml:space="preserve">杨森制药公司中国生物制品细胞治疗分析开发总监 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            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张宁</w:t>
            </w:r>
          </w:p>
        </w:tc>
      </w:tr>
      <w:tr w:rsidR="00224B78" w:rsidRPr="00BA6E7B" w:rsidTr="00F24A50">
        <w:trPr>
          <w:trHeight w:val="587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休息</w:t>
            </w:r>
          </w:p>
        </w:tc>
      </w:tr>
      <w:tr w:rsidR="00224B78" w:rsidRPr="00BA6E7B" w:rsidTr="00F24A50">
        <w:trPr>
          <w:trHeight w:val="40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3、监管机构对化药C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药学资料要求的考虑及主要关注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药审中心专家</w:t>
            </w:r>
          </w:p>
        </w:tc>
      </w:tr>
      <w:tr w:rsidR="00224B78" w:rsidRPr="00BA6E7B" w:rsidTr="00F24A50">
        <w:trPr>
          <w:trHeight w:val="40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4、企业撰写化药药学资料过程中遇到的问题及解决经验分享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外企相关专家</w:t>
            </w:r>
          </w:p>
        </w:tc>
      </w:tr>
      <w:tr w:rsidR="00224B78" w:rsidRPr="00BA6E7B" w:rsidTr="00F24A50">
        <w:trPr>
          <w:trHeight w:val="40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问答及讨论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所有讲者</w:t>
            </w:r>
          </w:p>
        </w:tc>
      </w:tr>
      <w:tr w:rsidR="00224B78" w:rsidRPr="00BA6E7B" w:rsidTr="00F24A50">
        <w:trPr>
          <w:trHeight w:val="434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F3890">
              <w:rPr>
                <w:rFonts w:ascii="黑体" w:eastAsia="黑体" w:hAnsi="黑体" w:cs="宋体" w:hint="eastAsia"/>
                <w:b/>
                <w:bCs/>
                <w:kern w:val="0"/>
              </w:rPr>
              <w:t>9月8日下午</w:t>
            </w:r>
          </w:p>
        </w:tc>
      </w:tr>
      <w:tr w:rsidR="00224B78" w:rsidRPr="00BA6E7B" w:rsidTr="00F24A50">
        <w:trPr>
          <w:trHeight w:val="692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如何根据I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CH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通用技术文档/CTD要求组织一份非临床资料（模块2和4</w:t>
            </w:r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,S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）</w:t>
            </w:r>
          </w:p>
        </w:tc>
      </w:tr>
      <w:tr w:rsidR="00224B78" w:rsidRPr="00BA6E7B" w:rsidTr="00F24A50">
        <w:trPr>
          <w:trHeight w:val="69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1、监管机构对C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非临床资料要求的考虑及主要关注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药审中心专家</w:t>
            </w:r>
          </w:p>
        </w:tc>
      </w:tr>
      <w:tr w:rsidR="00224B78" w:rsidRPr="00BA6E7B" w:rsidTr="00F24A50">
        <w:trPr>
          <w:trHeight w:val="54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2、企业撰写非临床资料过程中遇到的问题及解决经验分享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杨森中国研发中心</w:t>
            </w:r>
          </w:p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张云海</w:t>
            </w:r>
          </w:p>
        </w:tc>
      </w:tr>
      <w:tr w:rsidR="00224B78" w:rsidRPr="00BA6E7B" w:rsidTr="00F24A50">
        <w:trPr>
          <w:trHeight w:val="545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休息</w:t>
            </w:r>
          </w:p>
        </w:tc>
      </w:tr>
      <w:tr w:rsidR="00224B78" w:rsidRPr="00BA6E7B" w:rsidTr="00F24A50">
        <w:trPr>
          <w:trHeight w:val="589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企业经验分享：</w:t>
            </w:r>
            <w:proofErr w:type="spellStart"/>
            <w:r w:rsidRPr="00BA6E7B">
              <w:rPr>
                <w:rFonts w:ascii="仿宋" w:eastAsia="仿宋" w:hAnsi="仿宋" w:cs="宋体"/>
                <w:b/>
                <w:kern w:val="0"/>
                <w:sz w:val="22"/>
              </w:rPr>
              <w:t>eCTD</w:t>
            </w:r>
            <w:proofErr w:type="spellEnd"/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实施要求和经验分享</w:t>
            </w:r>
          </w:p>
        </w:tc>
      </w:tr>
      <w:tr w:rsidR="00224B78" w:rsidRPr="00BA6E7B" w:rsidTr="00F24A50">
        <w:trPr>
          <w:trHeight w:val="5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3518E9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/>
                <w:kern w:val="0"/>
                <w:sz w:val="22"/>
              </w:rPr>
              <w:t>1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proofErr w:type="spellStart"/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e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CTD</w:t>
            </w:r>
            <w:proofErr w:type="spellEnd"/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概述和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案例分享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以及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CTD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与</w:t>
            </w:r>
            <w:proofErr w:type="spellStart"/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e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CTD</w:t>
            </w:r>
            <w:proofErr w:type="spellEnd"/>
            <w:r w:rsidRPr="00BA6E7B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结构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区别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外企相关专家</w:t>
            </w:r>
          </w:p>
        </w:tc>
      </w:tr>
      <w:tr w:rsidR="00224B78" w:rsidRPr="00BA6E7B" w:rsidTr="00F24A50">
        <w:trPr>
          <w:trHeight w:val="5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2、实施</w:t>
            </w:r>
            <w:proofErr w:type="spellStart"/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e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TMF</w:t>
            </w:r>
            <w:proofErr w:type="spellEnd"/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时如何进行T</w:t>
            </w:r>
            <w:r w:rsidRPr="00BA6E7B">
              <w:rPr>
                <w:rFonts w:ascii="仿宋" w:eastAsia="仿宋" w:hAnsi="仿宋" w:cs="宋体"/>
                <w:kern w:val="0"/>
                <w:sz w:val="22"/>
              </w:rPr>
              <w:t>MF</w:t>
            </w: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管理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北京科林利康医学研究有限公司</w:t>
            </w:r>
          </w:p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 xml:space="preserve">首席科学官 </w:t>
            </w: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刘川</w:t>
            </w:r>
          </w:p>
        </w:tc>
      </w:tr>
      <w:tr w:rsidR="00224B78" w:rsidRPr="00BA6E7B" w:rsidTr="00F24A50">
        <w:trPr>
          <w:trHeight w:val="50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问答及讨论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所有讲者</w:t>
            </w:r>
          </w:p>
        </w:tc>
      </w:tr>
      <w:tr w:rsidR="00224B78" w:rsidRPr="00BA6E7B" w:rsidTr="00F24A50">
        <w:trPr>
          <w:trHeight w:val="529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78" w:rsidRPr="00BA6E7B" w:rsidRDefault="00224B78" w:rsidP="00F24A50">
            <w:pPr>
              <w:widowControl/>
              <w:ind w:firstLine="1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B78" w:rsidRPr="00BA6E7B" w:rsidRDefault="00224B78" w:rsidP="00F24A50">
            <w:pPr>
              <w:widowControl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b/>
                <w:kern w:val="0"/>
                <w:sz w:val="22"/>
              </w:rPr>
              <w:t>会议总结及闭幕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78" w:rsidRPr="00BA6E7B" w:rsidRDefault="00224B78" w:rsidP="00F24A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A6E7B">
              <w:rPr>
                <w:rFonts w:ascii="仿宋" w:eastAsia="仿宋" w:hAnsi="仿宋" w:cs="宋体" w:hint="eastAsia"/>
                <w:kern w:val="0"/>
                <w:sz w:val="22"/>
              </w:rPr>
              <w:t>总局/CDE相关领导</w:t>
            </w:r>
          </w:p>
        </w:tc>
      </w:tr>
    </w:tbl>
    <w:p w:rsidR="00224B78" w:rsidRDefault="00224B78" w:rsidP="00224B78">
      <w:pPr>
        <w:spacing w:line="560" w:lineRule="exact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B32E30" w:rsidRDefault="00A0670A"/>
    <w:sectPr w:rsidR="00B32E30" w:rsidSect="005D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0A" w:rsidRDefault="00A0670A" w:rsidP="00224B78">
      <w:r>
        <w:separator/>
      </w:r>
    </w:p>
  </w:endnote>
  <w:endnote w:type="continuationSeparator" w:id="0">
    <w:p w:rsidR="00A0670A" w:rsidRDefault="00A0670A" w:rsidP="0022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0A" w:rsidRDefault="00A0670A" w:rsidP="00224B78">
      <w:r>
        <w:separator/>
      </w:r>
    </w:p>
  </w:footnote>
  <w:footnote w:type="continuationSeparator" w:id="0">
    <w:p w:rsidR="00A0670A" w:rsidRDefault="00A0670A" w:rsidP="00224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B78"/>
    <w:rsid w:val="001E76E4"/>
    <w:rsid w:val="00224B78"/>
    <w:rsid w:val="005D7B90"/>
    <w:rsid w:val="00A0670A"/>
    <w:rsid w:val="00C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2018-08-21T07:12:00Z</dcterms:created>
  <dcterms:modified xsi:type="dcterms:W3CDTF">2018-08-21T07:12:00Z</dcterms:modified>
</cp:coreProperties>
</file>