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B" w:rsidRDefault="0009595B" w:rsidP="0009595B">
      <w:pPr>
        <w:widowControl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BB6566">
        <w:rPr>
          <w:rFonts w:ascii="Times New Roman" w:eastAsia="仿宋" w:hAnsi="Times New Roman" w:cs="Times New Roman"/>
          <w:sz w:val="32"/>
          <w:szCs w:val="32"/>
        </w:rPr>
        <w:t>附件</w:t>
      </w:r>
      <w:r w:rsidRPr="00BB6566">
        <w:rPr>
          <w:rFonts w:ascii="Times New Roman" w:eastAsia="仿宋" w:hAnsi="Times New Roman" w:cs="Times New Roman"/>
          <w:sz w:val="32"/>
          <w:szCs w:val="32"/>
        </w:rPr>
        <w:t>2</w:t>
      </w:r>
      <w:r w:rsidRPr="00BB6566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09595B" w:rsidRPr="00AA5087" w:rsidRDefault="0009595B" w:rsidP="0009595B">
      <w:pPr>
        <w:snapToGrid w:val="0"/>
        <w:jc w:val="center"/>
        <w:rPr>
          <w:rFonts w:eastAsia="黑体" w:hAnsi="黑体"/>
          <w:sz w:val="36"/>
          <w:szCs w:val="36"/>
        </w:rPr>
      </w:pPr>
      <w:r w:rsidRPr="00AA5087">
        <w:rPr>
          <w:rFonts w:eastAsia="黑体" w:hAnsi="黑体" w:hint="eastAsia"/>
          <w:sz w:val="36"/>
          <w:szCs w:val="36"/>
        </w:rPr>
        <w:t>7</w:t>
      </w:r>
      <w:r w:rsidRPr="00AA5087">
        <w:rPr>
          <w:rFonts w:eastAsia="黑体" w:hAnsi="黑体" w:hint="eastAsia"/>
          <w:sz w:val="36"/>
          <w:szCs w:val="36"/>
        </w:rPr>
        <w:t>月</w:t>
      </w:r>
      <w:r w:rsidRPr="00AA5087">
        <w:rPr>
          <w:rFonts w:eastAsia="黑体" w:hAnsi="黑体" w:hint="eastAsia"/>
          <w:sz w:val="36"/>
          <w:szCs w:val="36"/>
        </w:rPr>
        <w:t>1</w:t>
      </w:r>
      <w:r>
        <w:rPr>
          <w:rFonts w:eastAsia="黑体" w:hAnsi="黑体" w:hint="eastAsia"/>
          <w:sz w:val="36"/>
          <w:szCs w:val="36"/>
        </w:rPr>
        <w:t>8</w:t>
      </w:r>
      <w:r w:rsidRPr="00AA5087">
        <w:rPr>
          <w:rFonts w:eastAsia="黑体" w:hAnsi="黑体" w:hint="eastAsia"/>
          <w:sz w:val="36"/>
          <w:szCs w:val="36"/>
        </w:rPr>
        <w:t>日下午技术培训班</w:t>
      </w:r>
    </w:p>
    <w:p w:rsidR="0009595B" w:rsidRPr="00AA5087" w:rsidRDefault="0009595B" w:rsidP="0009595B">
      <w:pPr>
        <w:adjustRightInd w:val="0"/>
        <w:snapToGrid w:val="0"/>
        <w:spacing w:line="260" w:lineRule="exact"/>
        <w:jc w:val="left"/>
        <w:rPr>
          <w:rFonts w:asciiTheme="minorEastAsia" w:hAnsiTheme="minorEastAsia"/>
          <w:sz w:val="36"/>
          <w:szCs w:val="36"/>
        </w:rPr>
      </w:pPr>
    </w:p>
    <w:p w:rsidR="0009595B" w:rsidRPr="00804D4E" w:rsidRDefault="0009595B" w:rsidP="0009595B">
      <w:pPr>
        <w:widowControl/>
        <w:adjustRightInd w:val="0"/>
        <w:snapToGrid w:val="0"/>
        <w:spacing w:line="260" w:lineRule="exact"/>
        <w:rPr>
          <w:rFonts w:ascii="宋体" w:hAnsi="宋体" w:cs="宋体"/>
          <w:b/>
          <w:kern w:val="0"/>
          <w:sz w:val="18"/>
          <w:szCs w:val="18"/>
        </w:rPr>
      </w:pPr>
      <w:r w:rsidRPr="006948BD">
        <w:rPr>
          <w:rFonts w:ascii="黑体" w:eastAsia="黑体" w:hAnsi="黑体" w:hint="eastAsia"/>
          <w:sz w:val="28"/>
          <w:szCs w:val="28"/>
        </w:rPr>
        <w:t>技术培训一</w:t>
      </w:r>
    </w:p>
    <w:p w:rsidR="0009595B" w:rsidRDefault="0009595B" w:rsidP="0009595B">
      <w:pPr>
        <w:widowControl/>
        <w:adjustRightInd w:val="0"/>
        <w:snapToGrid w:val="0"/>
        <w:spacing w:line="260" w:lineRule="exact"/>
        <w:rPr>
          <w:rFonts w:ascii="宋体" w:hAnsi="宋体" w:cs="宋体"/>
          <w:kern w:val="0"/>
          <w:sz w:val="18"/>
          <w:szCs w:val="18"/>
        </w:rPr>
      </w:pPr>
      <w:r w:rsidRPr="00A01F22">
        <w:rPr>
          <w:rFonts w:ascii="宋体" w:eastAsia="宋体" w:hAnsi="宋体" w:cs="宋体" w:hint="eastAsia"/>
          <w:kern w:val="0"/>
          <w:sz w:val="18"/>
          <w:szCs w:val="18"/>
        </w:rPr>
        <w:t>主题：生物活性方法开发与验证</w:t>
      </w:r>
    </w:p>
    <w:p w:rsidR="0009595B" w:rsidRPr="00660C7A" w:rsidRDefault="0009595B" w:rsidP="0009595B">
      <w:pPr>
        <w:widowControl/>
        <w:adjustRightInd w:val="0"/>
        <w:snapToGrid w:val="0"/>
        <w:spacing w:line="260" w:lineRule="exact"/>
        <w:rPr>
          <w:rFonts w:ascii="Arial" w:eastAsia="宋体" w:hAnsi="Arial" w:cs="Arial"/>
          <w:kern w:val="0"/>
          <w:sz w:val="18"/>
          <w:szCs w:val="18"/>
        </w:rPr>
      </w:pPr>
      <w:r w:rsidRPr="00660C7A">
        <w:rPr>
          <w:rFonts w:ascii="Arial" w:eastAsia="宋体" w:hAnsi="Arial" w:cs="Arial"/>
          <w:kern w:val="0"/>
          <w:sz w:val="18"/>
          <w:szCs w:val="18"/>
        </w:rPr>
        <w:t>地点：沈北厅（会议中心二层）</w:t>
      </w:r>
    </w:p>
    <w:p w:rsidR="0009595B" w:rsidRPr="006948BD" w:rsidRDefault="0009595B" w:rsidP="0009595B">
      <w:pPr>
        <w:widowControl/>
        <w:adjustRightInd w:val="0"/>
        <w:snapToGrid w:val="0"/>
        <w:spacing w:line="260" w:lineRule="exact"/>
        <w:rPr>
          <w:rFonts w:ascii="宋体" w:hAnsi="宋体" w:cs="宋体"/>
          <w:kern w:val="0"/>
          <w:sz w:val="18"/>
          <w:szCs w:val="18"/>
        </w:rPr>
      </w:pPr>
    </w:p>
    <w:p w:rsidR="0009595B" w:rsidRPr="00A01F22" w:rsidRDefault="0009595B" w:rsidP="0009595B">
      <w:pPr>
        <w:widowControl/>
        <w:adjustRightInd w:val="0"/>
        <w:snapToGrid w:val="0"/>
        <w:spacing w:line="260" w:lineRule="exact"/>
        <w:rPr>
          <w:rFonts w:ascii="宋体" w:hAnsi="宋体" w:cs="宋体"/>
          <w:b/>
          <w:kern w:val="0"/>
          <w:sz w:val="18"/>
          <w:szCs w:val="18"/>
        </w:rPr>
      </w:pPr>
      <w:r w:rsidRPr="00A01F22">
        <w:rPr>
          <w:rFonts w:ascii="宋体" w:hAnsi="宋体" w:cs="宋体" w:hint="eastAsia"/>
          <w:b/>
          <w:kern w:val="0"/>
          <w:sz w:val="18"/>
          <w:szCs w:val="18"/>
        </w:rPr>
        <w:t>培训内容：</w:t>
      </w:r>
    </w:p>
    <w:p w:rsidR="0009595B" w:rsidRPr="00A01F22" w:rsidRDefault="0009595B" w:rsidP="0009595B">
      <w:pPr>
        <w:pStyle w:val="ab"/>
        <w:widowControl/>
        <w:numPr>
          <w:ilvl w:val="0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HAnsi" w:eastAsiaTheme="majorEastAsia" w:hAnsiTheme="majorHAnsi" w:cs="Arial"/>
          <w:b/>
          <w:bCs/>
          <w:color w:val="000000"/>
          <w:kern w:val="0"/>
          <w:sz w:val="18"/>
          <w:szCs w:val="18"/>
        </w:rPr>
        <w:t>DOE</w:t>
      </w:r>
      <w:r w:rsidRPr="00A01F22">
        <w:rPr>
          <w:rFonts w:asciiTheme="majorHAnsi" w:eastAsiaTheme="majorEastAsia" w:hAnsiTheme="majorHAnsi" w:cs="Arial" w:hint="eastAsia"/>
          <w:b/>
          <w:bCs/>
          <w:color w:val="000000"/>
          <w:kern w:val="0"/>
          <w:sz w:val="18"/>
          <w:szCs w:val="18"/>
        </w:rPr>
        <w:t>（设计、优化与方法验证）</w:t>
      </w: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在生物活性方法开发与方法验证中的应用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美国药典生物活性方法的相关章节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设计报告基因法分析生物活性的</w:t>
      </w:r>
      <w:proofErr w:type="gramStart"/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考量</w:t>
      </w:r>
      <w:proofErr w:type="gramEnd"/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因素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稳定细胞株的选择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方法专属性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分析方法优化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生物活性方法验证的法规要求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采用DOE进行生物活性方法验证的优势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如何有效地设计DOE影响因素</w:t>
      </w:r>
    </w:p>
    <w:p w:rsidR="0009595B" w:rsidRPr="00A01F22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如何高效地实施DOE实验</w:t>
      </w:r>
    </w:p>
    <w:p w:rsidR="0009595B" w:rsidRPr="006948BD" w:rsidRDefault="0009595B" w:rsidP="0009595B">
      <w:pPr>
        <w:pStyle w:val="ab"/>
        <w:widowControl/>
        <w:numPr>
          <w:ilvl w:val="1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Arial"/>
          <w:bCs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Arial" w:hint="eastAsia"/>
          <w:bCs/>
          <w:color w:val="000000"/>
          <w:kern w:val="0"/>
          <w:sz w:val="18"/>
          <w:szCs w:val="18"/>
        </w:rPr>
        <w:t>DOE实验结果的分析</w:t>
      </w:r>
    </w:p>
    <w:p w:rsidR="0009595B" w:rsidRDefault="0009595B" w:rsidP="0009595B">
      <w:pPr>
        <w:pStyle w:val="ab"/>
        <w:widowControl/>
        <w:numPr>
          <w:ilvl w:val="0"/>
          <w:numId w:val="26"/>
        </w:numPr>
        <w:adjustRightInd w:val="0"/>
        <w:snapToGrid w:val="0"/>
        <w:spacing w:line="260" w:lineRule="exact"/>
        <w:ind w:firstLineChars="0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  <w:t>生物活性方法的平行性分析</w:t>
      </w:r>
    </w:p>
    <w:p w:rsidR="0009595B" w:rsidRPr="00A01F22" w:rsidRDefault="0009595B" w:rsidP="0009595B">
      <w:pPr>
        <w:pStyle w:val="ab"/>
        <w:widowControl/>
        <w:adjustRightInd w:val="0"/>
        <w:snapToGrid w:val="0"/>
        <w:spacing w:line="260" w:lineRule="exact"/>
        <w:ind w:left="420"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Theme="majorEastAsia" w:eastAsiaTheme="majorEastAsia" w:hAnsiTheme="majorEastAsia" w:cs="Times New Roman"/>
          <w:b/>
          <w:color w:val="000000"/>
          <w:kern w:val="0"/>
          <w:sz w:val="18"/>
          <w:szCs w:val="18"/>
        </w:rPr>
      </w:pPr>
      <w:r w:rsidRPr="00A01F22">
        <w:rPr>
          <w:rFonts w:asciiTheme="majorEastAsia" w:eastAsiaTheme="majorEastAsia" w:hAnsiTheme="majorEastAsia" w:cs="Times New Roman" w:hint="eastAsia"/>
          <w:b/>
          <w:color w:val="000000"/>
          <w:kern w:val="0"/>
          <w:sz w:val="18"/>
          <w:szCs w:val="18"/>
        </w:rPr>
        <w:t>培训讲师：</w:t>
      </w: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丛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 xml:space="preserve">  </w:t>
      </w: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梅 博士，美国普洛麦格公司首席科学家</w:t>
      </w: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胡朝红 博士，上海美雅珂生物技术有限责任公司CEO</w:t>
      </w: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  <w:r w:rsidRPr="00A01F22">
        <w:rPr>
          <w:rFonts w:ascii="宋体" w:eastAsia="宋体" w:cs="宋体"/>
          <w:color w:val="000000"/>
          <w:kern w:val="0"/>
          <w:sz w:val="18"/>
          <w:szCs w:val="18"/>
        </w:rPr>
        <w:t>姜绪荣</w:t>
      </w: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 xml:space="preserve"> 博士，</w:t>
      </w:r>
      <w:r w:rsidRPr="00A01F22">
        <w:rPr>
          <w:rFonts w:ascii="宋体" w:eastAsia="宋体" w:cs="宋体"/>
          <w:color w:val="000000"/>
          <w:kern w:val="0"/>
          <w:sz w:val="18"/>
          <w:szCs w:val="18"/>
        </w:rPr>
        <w:t>阿斯利康制药公</w:t>
      </w: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司</w:t>
      </w:r>
      <w:proofErr w:type="spellStart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Bioventures</w:t>
      </w:r>
      <w:proofErr w:type="spellEnd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质量和技术总监，美国华人生物制药科技协会会长</w:t>
      </w:r>
    </w:p>
    <w:p w:rsidR="0009595B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</w:p>
    <w:p w:rsidR="0009595B" w:rsidRPr="006948BD" w:rsidRDefault="0009595B" w:rsidP="0009595B">
      <w:pPr>
        <w:adjustRightInd w:val="0"/>
        <w:snapToGrid w:val="0"/>
        <w:spacing w:line="260" w:lineRule="exact"/>
        <w:rPr>
          <w:rFonts w:ascii="黑体" w:eastAsia="黑体" w:hAnsi="黑体"/>
          <w:sz w:val="28"/>
          <w:szCs w:val="28"/>
        </w:rPr>
      </w:pPr>
      <w:r w:rsidRPr="006948BD">
        <w:rPr>
          <w:rFonts w:ascii="黑体" w:eastAsia="黑体" w:hAnsi="黑体" w:hint="eastAsia"/>
          <w:sz w:val="28"/>
          <w:szCs w:val="28"/>
        </w:rPr>
        <w:t>技术培训二</w:t>
      </w:r>
    </w:p>
    <w:p w:rsidR="0009595B" w:rsidRDefault="0009595B" w:rsidP="0009595B">
      <w:pPr>
        <w:widowControl/>
        <w:adjustRightInd w:val="0"/>
        <w:snapToGrid w:val="0"/>
        <w:spacing w:line="260" w:lineRule="exact"/>
        <w:rPr>
          <w:rFonts w:ascii="Arial" w:hAnsi="Arial" w:cs="Arial"/>
          <w:kern w:val="0"/>
          <w:sz w:val="18"/>
          <w:szCs w:val="18"/>
        </w:rPr>
      </w:pPr>
      <w:r w:rsidRPr="00A01F22">
        <w:rPr>
          <w:rFonts w:ascii="宋体" w:eastAsia="宋体" w:hAnsi="宋体" w:cs="宋体" w:hint="eastAsia"/>
          <w:kern w:val="0"/>
          <w:sz w:val="18"/>
          <w:szCs w:val="18"/>
        </w:rPr>
        <w:t>主题：</w:t>
      </w:r>
      <w:r w:rsidRPr="00A01F22">
        <w:rPr>
          <w:rFonts w:ascii="Arial" w:eastAsia="宋体" w:hAnsi="Arial" w:cs="Arial" w:hint="eastAsia"/>
          <w:kern w:val="0"/>
          <w:sz w:val="18"/>
          <w:szCs w:val="18"/>
        </w:rPr>
        <w:t>理化特性分析与</w:t>
      </w:r>
      <w:r w:rsidRPr="00A01F22">
        <w:rPr>
          <w:rFonts w:ascii="Arial" w:eastAsia="宋体" w:hAnsi="Arial" w:cs="Arial" w:hint="eastAsia"/>
          <w:kern w:val="0"/>
          <w:sz w:val="18"/>
          <w:szCs w:val="18"/>
        </w:rPr>
        <w:t>QC</w:t>
      </w:r>
    </w:p>
    <w:p w:rsidR="0009595B" w:rsidRPr="00660C7A" w:rsidRDefault="0009595B" w:rsidP="0009595B">
      <w:pPr>
        <w:widowControl/>
        <w:adjustRightInd w:val="0"/>
        <w:snapToGrid w:val="0"/>
        <w:spacing w:line="260" w:lineRule="exact"/>
        <w:rPr>
          <w:rFonts w:ascii="Arial" w:eastAsia="宋体" w:hAnsi="Arial" w:cs="Arial"/>
          <w:kern w:val="0"/>
          <w:sz w:val="18"/>
          <w:szCs w:val="18"/>
        </w:rPr>
      </w:pPr>
      <w:r w:rsidRPr="00660C7A">
        <w:rPr>
          <w:rFonts w:ascii="Arial" w:eastAsia="宋体" w:hAnsi="Arial" w:cs="Arial"/>
          <w:kern w:val="0"/>
          <w:sz w:val="18"/>
          <w:szCs w:val="18"/>
        </w:rPr>
        <w:t>地点：</w:t>
      </w:r>
      <w:proofErr w:type="gramStart"/>
      <w:r w:rsidRPr="00660C7A">
        <w:rPr>
          <w:rFonts w:ascii="Arial" w:eastAsia="宋体" w:hAnsi="Arial" w:cs="Arial"/>
          <w:kern w:val="0"/>
          <w:sz w:val="18"/>
          <w:szCs w:val="18"/>
        </w:rPr>
        <w:t>沈溪</w:t>
      </w:r>
      <w:proofErr w:type="gramEnd"/>
      <w:r w:rsidRPr="00660C7A">
        <w:rPr>
          <w:rFonts w:ascii="Arial" w:eastAsia="宋体" w:hAnsi="Arial" w:cs="Arial"/>
          <w:kern w:val="0"/>
          <w:sz w:val="18"/>
          <w:szCs w:val="18"/>
        </w:rPr>
        <w:t>A</w:t>
      </w:r>
      <w:r w:rsidRPr="00660C7A">
        <w:rPr>
          <w:rFonts w:ascii="Arial" w:eastAsia="宋体" w:hAnsi="Arial" w:cs="Arial"/>
          <w:kern w:val="0"/>
          <w:sz w:val="18"/>
          <w:szCs w:val="18"/>
        </w:rPr>
        <w:t>厅（会议中心一层）</w:t>
      </w:r>
    </w:p>
    <w:p w:rsidR="0009595B" w:rsidRPr="006948BD" w:rsidRDefault="0009595B" w:rsidP="0009595B">
      <w:pPr>
        <w:widowControl/>
        <w:adjustRightInd w:val="0"/>
        <w:snapToGrid w:val="0"/>
        <w:spacing w:line="260" w:lineRule="exact"/>
        <w:rPr>
          <w:rFonts w:ascii="Arial" w:hAnsi="Arial" w:cs="Arial"/>
          <w:kern w:val="0"/>
          <w:sz w:val="18"/>
          <w:szCs w:val="18"/>
        </w:rPr>
      </w:pPr>
    </w:p>
    <w:p w:rsidR="0009595B" w:rsidRPr="006948BD" w:rsidRDefault="0009595B" w:rsidP="0009595B">
      <w:pPr>
        <w:widowControl/>
        <w:adjustRightInd w:val="0"/>
        <w:snapToGrid w:val="0"/>
        <w:spacing w:line="260" w:lineRule="exact"/>
        <w:rPr>
          <w:rFonts w:ascii="Arial" w:hAnsi="Arial" w:cs="Arial"/>
          <w:kern w:val="0"/>
          <w:sz w:val="18"/>
          <w:szCs w:val="18"/>
        </w:rPr>
      </w:pPr>
      <w:r w:rsidRPr="00A01F22">
        <w:rPr>
          <w:rFonts w:ascii="宋体" w:hAnsi="宋体" w:cs="宋体" w:hint="eastAsia"/>
          <w:b/>
          <w:kern w:val="0"/>
          <w:sz w:val="18"/>
          <w:szCs w:val="18"/>
        </w:rPr>
        <w:t>培训内容：</w:t>
      </w:r>
    </w:p>
    <w:p w:rsidR="0009595B" w:rsidRPr="006948BD" w:rsidRDefault="0009595B" w:rsidP="0009595B">
      <w:pPr>
        <w:pStyle w:val="ab"/>
        <w:widowControl/>
        <w:numPr>
          <w:ilvl w:val="0"/>
          <w:numId w:val="24"/>
        </w:numPr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LC</w:t>
      </w:r>
      <w:r w:rsidRPr="006948BD">
        <w:rPr>
          <w:rFonts w:ascii="Arial" w:eastAsia="宋体" w:hAnsi="Arial" w:cs="Arial" w:hint="eastAsia"/>
          <w:kern w:val="0"/>
          <w:sz w:val="18"/>
          <w:szCs w:val="18"/>
        </w:rPr>
        <w:t>以及</w:t>
      </w:r>
      <w:r w:rsidRPr="006948BD">
        <w:rPr>
          <w:rFonts w:ascii="Arial" w:eastAsia="宋体" w:hAnsi="Arial" w:cs="Arial" w:hint="eastAsia"/>
          <w:kern w:val="0"/>
          <w:sz w:val="18"/>
          <w:szCs w:val="18"/>
        </w:rPr>
        <w:t>LC/MS</w:t>
      </w:r>
      <w:r w:rsidRPr="006948BD">
        <w:rPr>
          <w:rFonts w:ascii="Arial" w:eastAsia="宋体" w:hAnsi="Arial" w:cs="Arial" w:hint="eastAsia"/>
          <w:kern w:val="0"/>
          <w:sz w:val="18"/>
          <w:szCs w:val="18"/>
        </w:rPr>
        <w:t>分析工作中样品前处理、色谱柱选择和分析方法开发与优化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完整蛋白纯度与含量分析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proofErr w:type="gramStart"/>
      <w:r w:rsidRPr="006948BD">
        <w:rPr>
          <w:rFonts w:ascii="Arial" w:eastAsia="宋体" w:hAnsi="Arial" w:cs="Arial" w:hint="eastAsia"/>
          <w:kern w:val="0"/>
          <w:sz w:val="18"/>
          <w:szCs w:val="18"/>
        </w:rPr>
        <w:t>肽图分析</w:t>
      </w:r>
      <w:proofErr w:type="gramEnd"/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糖基化修饰分析</w:t>
      </w:r>
    </w:p>
    <w:p w:rsidR="0009595B" w:rsidRPr="006948BD" w:rsidRDefault="0009595B" w:rsidP="0009595B">
      <w:pPr>
        <w:pStyle w:val="ab"/>
        <w:widowControl/>
        <w:numPr>
          <w:ilvl w:val="0"/>
          <w:numId w:val="24"/>
        </w:numPr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分析数据完整性与计算机化系统验证的要求和实施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数据可靠性的法规要求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数据可靠性的稽查热点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计算机化系统验证的要求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实验室数据管理的规划和设计方案</w:t>
      </w:r>
    </w:p>
    <w:p w:rsidR="0009595B" w:rsidRPr="006948BD" w:rsidRDefault="0009595B" w:rsidP="0009595B">
      <w:pPr>
        <w:pStyle w:val="ab"/>
        <w:numPr>
          <w:ilvl w:val="0"/>
          <w:numId w:val="24"/>
        </w:numPr>
        <w:adjustRightInd w:val="0"/>
        <w:snapToGrid w:val="0"/>
        <w:spacing w:line="260" w:lineRule="exact"/>
        <w:ind w:firstLineChars="0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生物药物分析热点与前沿技术方案探讨：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生物药物分离与表征最新技术与流程分享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proofErr w:type="spellStart"/>
      <w:r w:rsidRPr="006948BD">
        <w:rPr>
          <w:rFonts w:ascii="Arial" w:eastAsia="宋体" w:hAnsi="Arial" w:cs="Arial" w:hint="eastAsia"/>
          <w:kern w:val="0"/>
          <w:sz w:val="18"/>
          <w:szCs w:val="18"/>
        </w:rPr>
        <w:t>AssayMAP</w:t>
      </w:r>
      <w:proofErr w:type="spellEnd"/>
      <w:r w:rsidRPr="006948BD">
        <w:rPr>
          <w:rFonts w:ascii="Arial" w:eastAsia="宋体" w:hAnsi="Arial" w:cs="Arial" w:hint="eastAsia"/>
          <w:kern w:val="0"/>
          <w:sz w:val="18"/>
          <w:szCs w:val="18"/>
        </w:rPr>
        <w:t>技术与最新生物样品前处理方法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ADC</w:t>
      </w:r>
      <w:r w:rsidRPr="006948BD">
        <w:rPr>
          <w:rFonts w:ascii="Arial" w:eastAsia="宋体" w:hAnsi="Arial" w:cs="Arial" w:hint="eastAsia"/>
          <w:kern w:val="0"/>
          <w:sz w:val="18"/>
          <w:szCs w:val="18"/>
        </w:rPr>
        <w:t>药物表征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实验室效率提升解决方案</w:t>
      </w:r>
    </w:p>
    <w:p w:rsidR="0009595B" w:rsidRPr="006948BD" w:rsidRDefault="0009595B" w:rsidP="0009595B">
      <w:pPr>
        <w:pStyle w:val="ab"/>
        <w:numPr>
          <w:ilvl w:val="1"/>
          <w:numId w:val="25"/>
        </w:numPr>
        <w:autoSpaceDE w:val="0"/>
        <w:autoSpaceDN w:val="0"/>
        <w:adjustRightInd w:val="0"/>
        <w:snapToGrid w:val="0"/>
        <w:spacing w:line="260" w:lineRule="exact"/>
        <w:ind w:firstLineChars="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6948BD">
        <w:rPr>
          <w:rFonts w:ascii="Arial" w:eastAsia="宋体" w:hAnsi="Arial" w:cs="Arial" w:hint="eastAsia"/>
          <w:kern w:val="0"/>
          <w:sz w:val="18"/>
          <w:szCs w:val="18"/>
        </w:rPr>
        <w:t>案例分享</w:t>
      </w:r>
    </w:p>
    <w:p w:rsidR="0009595B" w:rsidRPr="006948BD" w:rsidRDefault="0009595B" w:rsidP="0009595B">
      <w:pPr>
        <w:pStyle w:val="ab"/>
        <w:autoSpaceDE w:val="0"/>
        <w:autoSpaceDN w:val="0"/>
        <w:adjustRightInd w:val="0"/>
        <w:snapToGrid w:val="0"/>
        <w:spacing w:line="260" w:lineRule="exact"/>
        <w:ind w:left="840" w:firstLineChars="0" w:firstLine="0"/>
        <w:jc w:val="left"/>
        <w:rPr>
          <w:rFonts w:ascii="Arial" w:eastAsia="宋体" w:hAnsi="Arial" w:cs="Arial"/>
          <w:kern w:val="0"/>
          <w:sz w:val="18"/>
          <w:szCs w:val="18"/>
        </w:rPr>
      </w:pP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hAnsi="宋体"/>
          <w:b/>
          <w:sz w:val="18"/>
          <w:szCs w:val="18"/>
        </w:rPr>
      </w:pPr>
      <w:r w:rsidRPr="00A01F22">
        <w:rPr>
          <w:rFonts w:ascii="宋体" w:hAnsi="宋体" w:hint="eastAsia"/>
          <w:b/>
          <w:sz w:val="18"/>
          <w:szCs w:val="18"/>
        </w:rPr>
        <w:t>培训讲师：</w:t>
      </w: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陈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 xml:space="preserve">  </w:t>
      </w: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熙 博士，杜敏 博士，张玉书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 xml:space="preserve"> </w:t>
      </w: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沃</w:t>
      </w:r>
      <w:proofErr w:type="gramStart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特世</w:t>
      </w:r>
      <w:proofErr w:type="gramEnd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科技（上海）有限公司</w:t>
      </w: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鲁</w:t>
      </w:r>
      <w:r>
        <w:rPr>
          <w:rFonts w:ascii="宋体" w:eastAsia="宋体" w:cs="宋体" w:hint="eastAsia"/>
          <w:color w:val="000000"/>
          <w:kern w:val="0"/>
          <w:sz w:val="18"/>
          <w:szCs w:val="18"/>
        </w:rPr>
        <w:t xml:space="preserve">  </w:t>
      </w: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锐 博士，张曼玉 博士，</w:t>
      </w:r>
      <w:proofErr w:type="gramStart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米建秋</w:t>
      </w:r>
      <w:proofErr w:type="gramEnd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 xml:space="preserve"> 博士，安捷伦科技（中国）有限公司</w:t>
      </w:r>
    </w:p>
    <w:p w:rsidR="0009595B" w:rsidRPr="00A01F22" w:rsidRDefault="0009595B" w:rsidP="0009595B">
      <w:pPr>
        <w:adjustRightInd w:val="0"/>
        <w:snapToGrid w:val="0"/>
        <w:spacing w:line="260" w:lineRule="exact"/>
        <w:rPr>
          <w:rFonts w:ascii="宋体" w:eastAsia="宋体" w:cs="宋体"/>
          <w:color w:val="000000"/>
          <w:kern w:val="0"/>
          <w:sz w:val="18"/>
          <w:szCs w:val="18"/>
        </w:rPr>
      </w:pPr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周志贵 博士，上海</w:t>
      </w:r>
      <w:proofErr w:type="gramStart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奥浦迈</w:t>
      </w:r>
      <w:proofErr w:type="gramEnd"/>
      <w:r w:rsidRPr="00A01F22">
        <w:rPr>
          <w:rFonts w:ascii="宋体" w:eastAsia="宋体" w:cs="宋体" w:hint="eastAsia"/>
          <w:color w:val="000000"/>
          <w:kern w:val="0"/>
          <w:sz w:val="18"/>
          <w:szCs w:val="18"/>
        </w:rPr>
        <w:t>生物科技有限公司</w:t>
      </w:r>
      <w:bookmarkStart w:id="0" w:name="_GoBack"/>
      <w:bookmarkEnd w:id="0"/>
    </w:p>
    <w:sectPr w:rsidR="0009595B" w:rsidRPr="00A01F22" w:rsidSect="003520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2B" w:rsidRDefault="00FD6B2B" w:rsidP="00966DAC">
      <w:r>
        <w:separator/>
      </w:r>
    </w:p>
  </w:endnote>
  <w:endnote w:type="continuationSeparator" w:id="0">
    <w:p w:rsidR="00FD6B2B" w:rsidRDefault="00FD6B2B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0990"/>
      <w:docPartObj>
        <w:docPartGallery w:val="Page Numbers (Bottom of Page)"/>
        <w:docPartUnique/>
      </w:docPartObj>
    </w:sdtPr>
    <w:sdtEndPr/>
    <w:sdtContent>
      <w:p w:rsidR="00AF61B9" w:rsidRDefault="00FD6B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95B" w:rsidRPr="0009595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F61B9" w:rsidRDefault="00AF61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2B" w:rsidRDefault="00FD6B2B" w:rsidP="00966DAC">
      <w:r>
        <w:separator/>
      </w:r>
    </w:p>
  </w:footnote>
  <w:footnote w:type="continuationSeparator" w:id="0">
    <w:p w:rsidR="00FD6B2B" w:rsidRDefault="00FD6B2B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3"/>
  </w:num>
  <w:num w:numId="19">
    <w:abstractNumId w:val="1"/>
  </w:num>
  <w:num w:numId="20">
    <w:abstractNumId w:val="19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53CF2"/>
    <w:rsid w:val="000615CF"/>
    <w:rsid w:val="000709BF"/>
    <w:rsid w:val="00071586"/>
    <w:rsid w:val="00075E4D"/>
    <w:rsid w:val="00083A73"/>
    <w:rsid w:val="00093921"/>
    <w:rsid w:val="0009595B"/>
    <w:rsid w:val="000A064C"/>
    <w:rsid w:val="000A5375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766AE"/>
    <w:rsid w:val="001856C5"/>
    <w:rsid w:val="00194B64"/>
    <w:rsid w:val="00194F81"/>
    <w:rsid w:val="00196D3B"/>
    <w:rsid w:val="001A1969"/>
    <w:rsid w:val="001A55AD"/>
    <w:rsid w:val="001C39C3"/>
    <w:rsid w:val="001D6634"/>
    <w:rsid w:val="001E2C31"/>
    <w:rsid w:val="001E67B8"/>
    <w:rsid w:val="001E6C44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F4C3A"/>
    <w:rsid w:val="00342C32"/>
    <w:rsid w:val="00346656"/>
    <w:rsid w:val="003515D4"/>
    <w:rsid w:val="003520A6"/>
    <w:rsid w:val="00352686"/>
    <w:rsid w:val="00365B58"/>
    <w:rsid w:val="00367E9A"/>
    <w:rsid w:val="003749BD"/>
    <w:rsid w:val="003A0C34"/>
    <w:rsid w:val="003A18EC"/>
    <w:rsid w:val="003A695E"/>
    <w:rsid w:val="003D6D7A"/>
    <w:rsid w:val="003E2A9E"/>
    <w:rsid w:val="003F186C"/>
    <w:rsid w:val="003F3EDE"/>
    <w:rsid w:val="0040132D"/>
    <w:rsid w:val="00417A49"/>
    <w:rsid w:val="00421DEF"/>
    <w:rsid w:val="0042449C"/>
    <w:rsid w:val="00443D0F"/>
    <w:rsid w:val="00443D3C"/>
    <w:rsid w:val="00454126"/>
    <w:rsid w:val="00467272"/>
    <w:rsid w:val="00473B1A"/>
    <w:rsid w:val="00486793"/>
    <w:rsid w:val="00493024"/>
    <w:rsid w:val="004A06EB"/>
    <w:rsid w:val="004D68F4"/>
    <w:rsid w:val="00501B15"/>
    <w:rsid w:val="00514C62"/>
    <w:rsid w:val="00516178"/>
    <w:rsid w:val="00535939"/>
    <w:rsid w:val="00541F51"/>
    <w:rsid w:val="00544814"/>
    <w:rsid w:val="0054570E"/>
    <w:rsid w:val="00552C76"/>
    <w:rsid w:val="005650B1"/>
    <w:rsid w:val="00577598"/>
    <w:rsid w:val="005A0BA9"/>
    <w:rsid w:val="005B056F"/>
    <w:rsid w:val="005E08B0"/>
    <w:rsid w:val="005E1877"/>
    <w:rsid w:val="005E6526"/>
    <w:rsid w:val="005E69FA"/>
    <w:rsid w:val="005E7D43"/>
    <w:rsid w:val="005F4495"/>
    <w:rsid w:val="006071C2"/>
    <w:rsid w:val="006105AA"/>
    <w:rsid w:val="00613AA6"/>
    <w:rsid w:val="00616B5C"/>
    <w:rsid w:val="006176DF"/>
    <w:rsid w:val="00625876"/>
    <w:rsid w:val="00660C7A"/>
    <w:rsid w:val="006622BE"/>
    <w:rsid w:val="006649CD"/>
    <w:rsid w:val="006948BD"/>
    <w:rsid w:val="006A1BC2"/>
    <w:rsid w:val="006C2925"/>
    <w:rsid w:val="006D3BDB"/>
    <w:rsid w:val="006E1AAB"/>
    <w:rsid w:val="006E5812"/>
    <w:rsid w:val="00714211"/>
    <w:rsid w:val="007304C5"/>
    <w:rsid w:val="007377FF"/>
    <w:rsid w:val="0075256D"/>
    <w:rsid w:val="00753AC5"/>
    <w:rsid w:val="00757BB2"/>
    <w:rsid w:val="00757C40"/>
    <w:rsid w:val="007918CA"/>
    <w:rsid w:val="00793F67"/>
    <w:rsid w:val="00795A16"/>
    <w:rsid w:val="007A1F95"/>
    <w:rsid w:val="007C3733"/>
    <w:rsid w:val="007D1AA7"/>
    <w:rsid w:val="007D6624"/>
    <w:rsid w:val="007F1342"/>
    <w:rsid w:val="007F6D23"/>
    <w:rsid w:val="00804D4E"/>
    <w:rsid w:val="00807942"/>
    <w:rsid w:val="008113BB"/>
    <w:rsid w:val="00813E19"/>
    <w:rsid w:val="00826B0C"/>
    <w:rsid w:val="00833021"/>
    <w:rsid w:val="00850899"/>
    <w:rsid w:val="00873B45"/>
    <w:rsid w:val="00885303"/>
    <w:rsid w:val="00887CBF"/>
    <w:rsid w:val="008A60A4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5F76"/>
    <w:rsid w:val="009568CF"/>
    <w:rsid w:val="00962E76"/>
    <w:rsid w:val="00966DAC"/>
    <w:rsid w:val="009719D0"/>
    <w:rsid w:val="00984FD4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6BC7"/>
    <w:rsid w:val="00A12EE8"/>
    <w:rsid w:val="00A17C13"/>
    <w:rsid w:val="00A26B50"/>
    <w:rsid w:val="00A369C7"/>
    <w:rsid w:val="00A4216E"/>
    <w:rsid w:val="00A445BF"/>
    <w:rsid w:val="00A625E6"/>
    <w:rsid w:val="00A7256A"/>
    <w:rsid w:val="00A806BB"/>
    <w:rsid w:val="00A82281"/>
    <w:rsid w:val="00A9024A"/>
    <w:rsid w:val="00AA250F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F72F0"/>
    <w:rsid w:val="00BF77B9"/>
    <w:rsid w:val="00BF7DCF"/>
    <w:rsid w:val="00C0110C"/>
    <w:rsid w:val="00C3520A"/>
    <w:rsid w:val="00C40BB3"/>
    <w:rsid w:val="00C469A6"/>
    <w:rsid w:val="00C51B5E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CD7"/>
    <w:rsid w:val="00D24E73"/>
    <w:rsid w:val="00D56387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4934"/>
    <w:rsid w:val="00E34148"/>
    <w:rsid w:val="00E41E48"/>
    <w:rsid w:val="00E43F86"/>
    <w:rsid w:val="00E5058C"/>
    <w:rsid w:val="00E505B4"/>
    <w:rsid w:val="00E52769"/>
    <w:rsid w:val="00E545DB"/>
    <w:rsid w:val="00E92AEC"/>
    <w:rsid w:val="00E9762C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81AB4"/>
    <w:rsid w:val="00FA35E7"/>
    <w:rsid w:val="00FC77C1"/>
    <w:rsid w:val="00FD3586"/>
    <w:rsid w:val="00FD6B2B"/>
    <w:rsid w:val="00FD7841"/>
    <w:rsid w:val="00FE0C72"/>
    <w:rsid w:val="00FF43BD"/>
    <w:rsid w:val="00FF609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EE5F7"/>
  <w15:docId w15:val="{0D8755E5-1192-45A8-B2DC-CF719C5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3520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520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028F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i/>
      <w:iCs/>
    </w:rPr>
  </w:style>
  <w:style w:type="character" w:customStyle="1" w:styleId="line-name">
    <w:name w:val="line-name"/>
    <w:basedOn w:val="a0"/>
    <w:rsid w:val="002D4ED3"/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/>
    </w:rPr>
  </w:style>
  <w:style w:type="paragraph" w:styleId="ae">
    <w:name w:val="Plain Text"/>
    <w:aliases w:val="普通文字"/>
    <w:basedOn w:val="a"/>
    <w:link w:val="ad"/>
    <w:unhideWhenUsed/>
    <w:rsid w:val="001C39C3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E7B41"/>
    <w:rPr>
      <w:kern w:val="2"/>
      <w:sz w:val="18"/>
      <w:szCs w:val="18"/>
    </w:rPr>
  </w:style>
  <w:style w:type="character" w:customStyle="1" w:styleId="11">
    <w:name w:val="强调1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qFormat/>
    <w:rsid w:val="00071586"/>
    <w:pPr>
      <w:ind w:firstLineChars="200" w:firstLine="42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CC079-FC08-4F4C-889A-81CF4283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yuan</cp:lastModifiedBy>
  <cp:revision>2</cp:revision>
  <cp:lastPrinted>2017-03-27T03:09:00Z</cp:lastPrinted>
  <dcterms:created xsi:type="dcterms:W3CDTF">2017-05-31T07:05:00Z</dcterms:created>
  <dcterms:modified xsi:type="dcterms:W3CDTF">2017-05-31T07:05:00Z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