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86" w:rsidRPr="003A2573" w:rsidRDefault="00DF378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 w:rsidRPr="003A2573">
        <w:rPr>
          <w:rFonts w:eastAsia="仿宋"/>
          <w:sz w:val="32"/>
          <w:szCs w:val="32"/>
        </w:rPr>
        <w:t>附件</w:t>
      </w:r>
      <w:r w:rsidR="0059015A" w:rsidRPr="003A2573">
        <w:rPr>
          <w:rFonts w:eastAsia="仿宋"/>
          <w:sz w:val="32"/>
          <w:szCs w:val="32"/>
        </w:rPr>
        <w:t>2</w:t>
      </w:r>
      <w:r w:rsidRPr="003A2573">
        <w:rPr>
          <w:rFonts w:eastAsia="仿宋"/>
          <w:sz w:val="32"/>
          <w:szCs w:val="32"/>
        </w:rPr>
        <w:t>：</w:t>
      </w:r>
    </w:p>
    <w:p w:rsidR="00EA505C" w:rsidRPr="00A804D5" w:rsidRDefault="00EA505C" w:rsidP="00EA505C">
      <w:pPr>
        <w:adjustRightInd w:val="0"/>
        <w:snapToGrid w:val="0"/>
        <w:jc w:val="center"/>
        <w:rPr>
          <w:rFonts w:ascii="黑体" w:eastAsia="黑体" w:hAnsi="黑体"/>
          <w:bCs/>
          <w:sz w:val="36"/>
          <w:szCs w:val="36"/>
        </w:rPr>
      </w:pPr>
      <w:r w:rsidRPr="00A804D5">
        <w:rPr>
          <w:rFonts w:ascii="黑体" w:eastAsia="黑体" w:hAnsi="黑体"/>
          <w:bCs/>
          <w:color w:val="000000"/>
          <w:kern w:val="0"/>
          <w:sz w:val="36"/>
          <w:szCs w:val="36"/>
        </w:rPr>
        <w:t>第十四届中国药学会青年药学</w:t>
      </w:r>
      <w:r w:rsidRPr="00A804D5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论坛</w:t>
      </w:r>
      <w:r w:rsidRPr="00A804D5">
        <w:rPr>
          <w:rFonts w:ascii="黑体" w:eastAsia="黑体" w:hAnsi="黑体" w:hint="eastAsia"/>
          <w:bCs/>
          <w:sz w:val="36"/>
          <w:szCs w:val="36"/>
        </w:rPr>
        <w:t>拟定日程</w:t>
      </w:r>
    </w:p>
    <w:p w:rsidR="00EA505C" w:rsidRDefault="00EA505C" w:rsidP="00EA505C">
      <w:pPr>
        <w:adjustRightInd w:val="0"/>
        <w:snapToGrid w:val="0"/>
        <w:jc w:val="center"/>
        <w:rPr>
          <w:rFonts w:cs="宋体"/>
          <w:sz w:val="28"/>
          <w:szCs w:val="28"/>
          <w:highlight w:val="yellow"/>
        </w:rPr>
      </w:pPr>
    </w:p>
    <w:tbl>
      <w:tblPr>
        <w:tblW w:w="10787" w:type="dxa"/>
        <w:tblInd w:w="-6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2"/>
        <w:gridCol w:w="567"/>
        <w:gridCol w:w="567"/>
        <w:gridCol w:w="425"/>
        <w:gridCol w:w="567"/>
        <w:gridCol w:w="3261"/>
      </w:tblGrid>
      <w:tr w:rsidR="00EA505C" w:rsidRPr="00EA505C" w:rsidTr="00DD73F3">
        <w:trPr>
          <w:trHeight w:val="664"/>
        </w:trPr>
        <w:tc>
          <w:tcPr>
            <w:tcW w:w="10787" w:type="dxa"/>
            <w:gridSpan w:val="7"/>
            <w:vAlign w:val="center"/>
          </w:tcPr>
          <w:p w:rsidR="00EA505C" w:rsidRPr="00EA505C" w:rsidRDefault="00EA505C" w:rsidP="00DD73F3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EA505C">
              <w:rPr>
                <w:rFonts w:eastAsia="华文中宋"/>
              </w:rPr>
              <w:t>主会场</w:t>
            </w:r>
          </w:p>
        </w:tc>
      </w:tr>
      <w:tr w:rsidR="00EA505C" w:rsidRPr="00EA505C" w:rsidTr="00DD73F3">
        <w:tc>
          <w:tcPr>
            <w:tcW w:w="10787" w:type="dxa"/>
            <w:gridSpan w:val="7"/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时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505C">
              <w:rPr>
                <w:rFonts w:ascii="Times New Roman" w:hAnsi="宋体"/>
                <w:sz w:val="24"/>
                <w:szCs w:val="24"/>
              </w:rPr>
              <w:t>间：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505C">
              <w:rPr>
                <w:rFonts w:ascii="Times New Roman" w:hAnsi="宋体"/>
                <w:sz w:val="24"/>
                <w:szCs w:val="24"/>
              </w:rPr>
              <w:t>年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7</w:t>
            </w:r>
            <w:r w:rsidRPr="00EA505C">
              <w:rPr>
                <w:rFonts w:ascii="Times New Roman" w:hAnsi="宋体"/>
                <w:sz w:val="24"/>
                <w:szCs w:val="24"/>
              </w:rPr>
              <w:t>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4</w:t>
            </w:r>
            <w:r w:rsidRPr="00EA505C">
              <w:rPr>
                <w:rFonts w:ascii="Times New Roman" w:hAnsi="宋体"/>
                <w:sz w:val="24"/>
                <w:szCs w:val="24"/>
              </w:rPr>
              <w:t>日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05C" w:rsidRPr="00EA505C" w:rsidTr="00DD73F3">
        <w:tc>
          <w:tcPr>
            <w:tcW w:w="10787" w:type="dxa"/>
            <w:gridSpan w:val="7"/>
            <w:shd w:val="clear" w:color="auto" w:fill="auto"/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地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505C">
              <w:rPr>
                <w:rFonts w:ascii="Times New Roman" w:hAnsi="宋体"/>
                <w:sz w:val="24"/>
                <w:szCs w:val="24"/>
              </w:rPr>
              <w:t>址：杭州电子科技大学科技馆二楼报告厅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参加人员：全体代表</w:t>
            </w:r>
          </w:p>
        </w:tc>
      </w:tr>
      <w:tr w:rsidR="00EA505C" w:rsidRPr="00EA505C" w:rsidTr="00EA505C">
        <w:tc>
          <w:tcPr>
            <w:tcW w:w="6534" w:type="dxa"/>
            <w:gridSpan w:val="4"/>
            <w:tcBorders>
              <w:top w:val="single" w:sz="6" w:space="0" w:color="000000"/>
              <w:bottom w:val="nil"/>
              <w:right w:val="nil"/>
            </w:tcBorders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一、开幕式</w:t>
            </w:r>
          </w:p>
          <w:p w:rsidR="00EA505C" w:rsidRPr="00EA505C" w:rsidRDefault="00EA505C" w:rsidP="00DD73F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领导和嘉宾致辞</w:t>
            </w:r>
          </w:p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二、特邀报告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EA505C" w:rsidRPr="00EA505C" w:rsidRDefault="00EA505C" w:rsidP="00DD73F3">
            <w:pPr>
              <w:widowControl/>
              <w:adjustRightInd w:val="0"/>
              <w:snapToGrid w:val="0"/>
              <w:spacing w:line="500" w:lineRule="exact"/>
              <w:jc w:val="left"/>
              <w:rPr>
                <w:caps/>
                <w:kern w:val="0"/>
              </w:rPr>
            </w:pPr>
          </w:p>
          <w:p w:rsidR="00EA505C" w:rsidRPr="00EA505C" w:rsidRDefault="00EA505C" w:rsidP="00DD73F3">
            <w:pPr>
              <w:widowControl/>
              <w:adjustRightInd w:val="0"/>
              <w:snapToGrid w:val="0"/>
              <w:spacing w:line="500" w:lineRule="exact"/>
              <w:jc w:val="left"/>
              <w:rPr>
                <w:caps/>
                <w:kern w:val="0"/>
              </w:rPr>
            </w:pPr>
          </w:p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细胞药代动力学与新药研发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王广基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中国工程院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院士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基于在体蛋白质精准修饰的生物药物创新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周德敏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北京大学药学院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院长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待定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李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A167EE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中科院上海药物研究所</w:t>
            </w:r>
            <w:r w:rsidR="00A167EE">
              <w:rPr>
                <w:rFonts w:ascii="Times New Roman" w:hAnsi="宋体" w:hint="eastAsia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副所长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靶向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Hippo-YAP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通路干预缺氧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介</w:t>
            </w:r>
            <w:proofErr w:type="gramEnd"/>
            <w:r w:rsidRPr="00EA505C">
              <w:rPr>
                <w:rFonts w:ascii="Times New Roman" w:hAnsi="宋体"/>
                <w:caps/>
                <w:sz w:val="24"/>
                <w:szCs w:val="24"/>
              </w:rPr>
              <w:t>导的肝癌恶性进展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杨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波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浙江大学药学院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院长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雌激素相关受体（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ERRs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）小分子调节剂及其在代谢相关疾病中的潜在治疗作用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丁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克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暨南大学药学院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院长</w:t>
            </w:r>
          </w:p>
        </w:tc>
      </w:tr>
      <w:tr w:rsidR="00EA505C" w:rsidRPr="00EA505C" w:rsidTr="00A167E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骨架新颖天然产物的发现与药理活性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张勇慧</w:t>
            </w:r>
            <w:proofErr w:type="gramEnd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华中科技大学同济医学院药学院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院长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利用干细胞和基因编辑技术研究和治疗衰老相关疾病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刘光慧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中科院生物物理研究所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纳米递药系统的跨膜转运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黄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园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四川大学华西药学院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党委书记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老药二次研发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“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不杀菌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”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抗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MRSA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候选新药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JX08-2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李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剑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华东理工大学药学院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党委书记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延长雌激素替代治疗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时间窗新策略</w:t>
            </w:r>
            <w:proofErr w:type="gramEnd"/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招明高</w:t>
            </w:r>
            <w:proofErr w:type="gramEnd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空军军医大学药学院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EA505C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创新药物制剂研发思路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何仲贵</w:t>
            </w:r>
            <w:proofErr w:type="gramEnd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沈阳药科大学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A167EE">
        <w:tc>
          <w:tcPr>
            <w:tcW w:w="5400" w:type="dxa"/>
            <w:gridSpan w:val="2"/>
            <w:tcBorders>
              <w:top w:val="nil"/>
              <w:bottom w:val="double" w:sz="6" w:space="0" w:color="000000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AMPK: new insights into an old molecule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孙宏斌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A167EE">
        <w:tc>
          <w:tcPr>
            <w:tcW w:w="10787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 w:rsidRPr="00EA505C">
              <w:rPr>
                <w:rFonts w:eastAsia="华文中宋"/>
              </w:rPr>
              <w:lastRenderedPageBreak/>
              <w:t>第一分会场</w:t>
            </w:r>
            <w:r w:rsidRPr="00EA505C">
              <w:rPr>
                <w:rFonts w:eastAsia="仿宋"/>
                <w:sz w:val="28"/>
                <w:szCs w:val="28"/>
              </w:rPr>
              <w:t>：</w:t>
            </w:r>
            <w:r w:rsidRPr="00EA505C">
              <w:rPr>
                <w:rFonts w:eastAsia="华文中宋"/>
              </w:rPr>
              <w:t>药物靶标发现与确证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时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sz w:val="24"/>
                <w:szCs w:val="24"/>
              </w:rPr>
              <w:t>间：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年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7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5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日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地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sz w:val="24"/>
                <w:szCs w:val="24"/>
              </w:rPr>
              <w:t>点：杭州电子科技大学科技馆二楼扇形厅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一、特邀报告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675A32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药物设计方法驱动的精准靶标识别和原创药物发现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张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上海交通大学医学院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肠肝代谢</w:t>
            </w:r>
            <w:proofErr w:type="gramEnd"/>
            <w:r w:rsidRPr="00EA505C">
              <w:rPr>
                <w:rFonts w:ascii="Times New Roman" w:hAnsi="宋体"/>
                <w:caps/>
                <w:sz w:val="24"/>
                <w:szCs w:val="24"/>
              </w:rPr>
              <w:t>调控药物靶标发现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 xml:space="preserve">郝海平　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院长、教授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细胞老化与肝脏再生靶标发现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毕惠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中山大学药学院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副院长、教授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Clinical Trials, Progression-speed</w:t>
            </w:r>
          </w:p>
          <w:p w:rsidR="00EA505C" w:rsidRPr="00EA505C" w:rsidRDefault="00EA505C" w:rsidP="00EA505C">
            <w:pPr>
              <w:pStyle w:val="ab"/>
              <w:adjustRightInd w:val="0"/>
              <w:snapToGrid w:val="0"/>
              <w:spacing w:line="240" w:lineRule="exact"/>
              <w:ind w:left="84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Differentiating Features, and Speedy Rule of the Innovative Targets of First-in-class Drugs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朱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浙江大学药学院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活细胞代谢高时空分析与靶标发现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赵玉政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华东理工大学药学院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精准药靶结构</w:t>
            </w:r>
            <w:proofErr w:type="gramEnd"/>
            <w:r w:rsidRPr="00EA505C">
              <w:rPr>
                <w:rFonts w:ascii="Times New Roman" w:hAnsi="宋体"/>
                <w:caps/>
                <w:sz w:val="24"/>
                <w:szCs w:val="24"/>
              </w:rPr>
              <w:t>解析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张海涛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浙江大学药学院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新型程序性坏死抑制靶标的发现与调控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谭</w:t>
            </w:r>
            <w:proofErr w:type="gramEnd"/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中国科学院上海有机化学研究所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p18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小分子抑制剂促进造血干细胞扩增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杨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基于基因组学的肿瘤诊治相关靶标发现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贝锦新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中山大学肿瘤防治中心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CRISPR-Cas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系统的作用机制及其在药学研究中的潜在应用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肖易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倍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酒文化、酒精肝与治疗靶标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王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华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安徽医科大学药学院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二、论文交流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</w:rPr>
            </w:pPr>
            <w:r w:rsidRPr="00EA505C">
              <w:rPr>
                <w:rFonts w:eastAsia="华文中宋"/>
              </w:rPr>
              <w:t>第二分会场：新药临床前成药性评价及临床研究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Times New Roman"/>
                <w:sz w:val="24"/>
                <w:szCs w:val="24"/>
              </w:rPr>
              <w:t>时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年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7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5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日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地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sz w:val="24"/>
                <w:szCs w:val="24"/>
              </w:rPr>
              <w:t>点：杭州电子科技大学科技馆一楼教工之家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一、特邀报告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新药临床前研究风险管理关键点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王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四川安评中心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药物代谢和转运对候选新药成药性的关键作用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余露山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浙江大学药学院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GCp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与新药临床评价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梁蓓蓓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解放军总医院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清热解毒中药鱼腥草的化学和活性研究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高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暨南大学药学院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rPr>
          <w:trHeight w:val="1260"/>
        </w:trPr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lastRenderedPageBreak/>
              <w:t>选择性化学修饰用于基于天然产物的探针合成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钮大文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四川大学生物治疗国家重点实验室、化学工程学院副院长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新型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LSD1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抑制剂抗肿瘤作用及机制研究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赵瀛兰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四川大学生物治疗国家重点实验室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针对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FLT3-ITD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阳性的急性白血病药物研究及其思考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刘青松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中科院合肥强磁场研究所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抗肺动脉高压新机制药物（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PDE10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抑制剂）的发现研究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罗海彬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中山大学药学院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副院长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银杏制剂药效物质基础的发现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杨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505C" w:rsidRPr="00EA505C" w:rsidRDefault="00EA505C" w:rsidP="00EA505C">
            <w:pPr>
              <w:pStyle w:val="ab"/>
              <w:adjustRightInd w:val="0"/>
              <w:snapToGrid w:val="0"/>
              <w:spacing w:line="4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中国药科大学中药学院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副教授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二、论文交流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>第三分会场</w:t>
            </w:r>
            <w:r w:rsidRPr="00EA505C">
              <w:rPr>
                <w:rFonts w:ascii="Times New Roman" w:eastAsia="仿宋" w:hAnsi="Times New Roman"/>
                <w:sz w:val="28"/>
                <w:szCs w:val="28"/>
              </w:rPr>
              <w:t>：</w:t>
            </w:r>
            <w:r w:rsidRPr="00EA505C">
              <w:rPr>
                <w:rFonts w:ascii="Times New Roman" w:eastAsia="华文中宋" w:hAnsi="Times New Roman"/>
                <w:kern w:val="2"/>
                <w:sz w:val="24"/>
                <w:szCs w:val="24"/>
              </w:rPr>
              <w:t>新制剂及药学评价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时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sz w:val="24"/>
                <w:szCs w:val="24"/>
              </w:rPr>
              <w:t>间：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505C">
              <w:rPr>
                <w:rFonts w:ascii="Times New Roman" w:hAnsi="宋体"/>
                <w:sz w:val="24"/>
                <w:szCs w:val="24"/>
              </w:rPr>
              <w:t>年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7</w:t>
            </w:r>
            <w:r w:rsidRPr="00EA505C">
              <w:rPr>
                <w:rFonts w:ascii="Times New Roman" w:hAnsi="宋体"/>
                <w:sz w:val="24"/>
                <w:szCs w:val="24"/>
              </w:rPr>
              <w:t>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5</w:t>
            </w:r>
            <w:r w:rsidRPr="00EA505C">
              <w:rPr>
                <w:rFonts w:ascii="Times New Roman" w:hAnsi="宋体"/>
                <w:sz w:val="24"/>
                <w:szCs w:val="24"/>
              </w:rPr>
              <w:t>日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地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sz w:val="24"/>
                <w:szCs w:val="24"/>
              </w:rPr>
              <w:t>点：杭州电子科技大学科技馆三楼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8</w:t>
            </w:r>
            <w:r w:rsidRPr="00EA505C">
              <w:rPr>
                <w:rFonts w:ascii="Times New Roman" w:hAnsi="宋体"/>
                <w:sz w:val="24"/>
                <w:szCs w:val="24"/>
              </w:rPr>
              <w:t>号会议室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一、特邀报告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药物新剂型的产业化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尹莉芳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副院长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长效注射微球的研发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柯</w:t>
            </w:r>
            <w:proofErr w:type="gramEnd"/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生物大分子药物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高效递释系统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孙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四川大学华西药学院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多功能纳米组装体药物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凌代舜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浙江大学药学院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研究员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675A32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="839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Radiolabeled nanomaterials for cancer theranostic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孙晓莲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A167EE" w:rsidRDefault="00EA505C" w:rsidP="00675A32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="839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Microfluidic Encapsulation of Drug</w:t>
            </w:r>
          </w:p>
          <w:p w:rsidR="00A167EE" w:rsidRDefault="00EA505C" w:rsidP="00675A32">
            <w:pPr>
              <w:pStyle w:val="ab"/>
              <w:adjustRightInd w:val="0"/>
              <w:snapToGrid w:val="0"/>
              <w:spacing w:line="400" w:lineRule="exact"/>
              <w:ind w:left="839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Crystals for Controlled Drug</w:t>
            </w:r>
          </w:p>
          <w:p w:rsidR="00EA505C" w:rsidRPr="00EA505C" w:rsidRDefault="00EA505C" w:rsidP="00675A32">
            <w:pPr>
              <w:pStyle w:val="ab"/>
              <w:adjustRightInd w:val="0"/>
              <w:snapToGrid w:val="0"/>
              <w:spacing w:line="400" w:lineRule="exact"/>
              <w:ind w:left="839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>Delivery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刘东飞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中国药科大学药学院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生物大分子的无创眼内递送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魏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复旦大学药学院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653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EA505C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新型</w:t>
            </w:r>
            <w:proofErr w:type="gramStart"/>
            <w:r w:rsidRPr="00EA505C">
              <w:rPr>
                <w:rFonts w:ascii="Times New Roman" w:hAnsi="宋体"/>
                <w:caps/>
                <w:sz w:val="24"/>
                <w:szCs w:val="24"/>
              </w:rPr>
              <w:t>脑靶向</w:t>
            </w:r>
            <w:proofErr w:type="gramEnd"/>
            <w:r w:rsidRPr="00EA505C">
              <w:rPr>
                <w:rFonts w:ascii="Times New Roman" w:hAnsi="宋体"/>
                <w:caps/>
                <w:sz w:val="24"/>
                <w:szCs w:val="24"/>
              </w:rPr>
              <w:t>递药系统的设计与评价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高会乐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EA505C">
              <w:rPr>
                <w:rFonts w:ascii="Times New Roman" w:hAnsi="宋体"/>
                <w:caps/>
                <w:sz w:val="24"/>
                <w:szCs w:val="24"/>
              </w:rPr>
              <w:t>四川大学华西药学院</w:t>
            </w:r>
            <w:r w:rsidRPr="00EA50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hAnsi="宋体"/>
                <w:caps/>
                <w:sz w:val="24"/>
                <w:szCs w:val="24"/>
              </w:rPr>
              <w:t>教授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宋体"/>
                <w:sz w:val="24"/>
                <w:szCs w:val="24"/>
              </w:rPr>
              <w:t>二、论文交流</w:t>
            </w:r>
          </w:p>
        </w:tc>
      </w:tr>
      <w:tr w:rsidR="00EA505C" w:rsidRPr="00EA505C" w:rsidTr="00DD73F3">
        <w:tc>
          <w:tcPr>
            <w:tcW w:w="10787" w:type="dxa"/>
            <w:gridSpan w:val="7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A505C" w:rsidRPr="00EA505C" w:rsidRDefault="00EA505C" w:rsidP="00DD73F3">
            <w:pPr>
              <w:pStyle w:val="ab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A505C">
              <w:rPr>
                <w:rFonts w:ascii="Times New Roman" w:hAnsi="Times New Roman"/>
                <w:sz w:val="24"/>
                <w:szCs w:val="24"/>
              </w:rPr>
              <w:t>时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年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7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6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>日上午</w:t>
            </w:r>
            <w:r w:rsidRPr="00EA505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>代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>表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>撤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EA505C">
              <w:rPr>
                <w:rFonts w:ascii="Times New Roman" w:eastAsia="华文中宋" w:hAnsi="Times New Roman"/>
                <w:sz w:val="24"/>
                <w:szCs w:val="24"/>
              </w:rPr>
              <w:t>离</w:t>
            </w:r>
          </w:p>
        </w:tc>
      </w:tr>
    </w:tbl>
    <w:p w:rsidR="00675A32" w:rsidRDefault="00EA505C">
      <w:pPr>
        <w:snapToGrid w:val="0"/>
        <w:spacing w:line="360" w:lineRule="auto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 xml:space="preserve"> </w:t>
      </w:r>
      <w:bookmarkStart w:id="0" w:name="_GoBack"/>
      <w:bookmarkEnd w:id="0"/>
    </w:p>
    <w:sectPr w:rsidR="00675A32" w:rsidSect="00CC7C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BA" w:rsidRDefault="004529BA">
      <w:r>
        <w:separator/>
      </w:r>
    </w:p>
  </w:endnote>
  <w:endnote w:type="continuationSeparator" w:id="0">
    <w:p w:rsidR="004529BA" w:rsidRDefault="0045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D916AA">
    <w:pPr>
      <w:pStyle w:val="ad"/>
      <w:framePr w:wrap="around" w:vAnchor="text" w:hAnchor="margin" w:xAlign="outside" w:y="1"/>
      <w:rPr>
        <w:rStyle w:val="a7"/>
      </w:rPr>
    </w:pPr>
    <w:r>
      <w:fldChar w:fldCharType="begin"/>
    </w:r>
    <w:r w:rsidR="00EB22E6">
      <w:rPr>
        <w:rStyle w:val="a7"/>
      </w:rPr>
      <w:instrText xml:space="preserve">PAGE  </w:instrText>
    </w:r>
    <w:r>
      <w:fldChar w:fldCharType="end"/>
    </w:r>
  </w:p>
  <w:p w:rsidR="00EB22E6" w:rsidRDefault="00EB22E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EB22E6">
    <w:pPr>
      <w:pStyle w:val="ad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="00D916AA"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D916AA">
      <w:rPr>
        <w:sz w:val="24"/>
        <w:szCs w:val="24"/>
      </w:rPr>
      <w:fldChar w:fldCharType="separate"/>
    </w:r>
    <w:r w:rsidR="006E12F2">
      <w:rPr>
        <w:rStyle w:val="a7"/>
        <w:noProof/>
        <w:sz w:val="24"/>
        <w:szCs w:val="24"/>
      </w:rPr>
      <w:t>5</w:t>
    </w:r>
    <w:r w:rsidR="00D916AA"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EB22E6" w:rsidRDefault="00EB22E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BA" w:rsidRDefault="004529BA">
      <w:r>
        <w:separator/>
      </w:r>
    </w:p>
  </w:footnote>
  <w:footnote w:type="continuationSeparator" w:id="0">
    <w:p w:rsidR="004529BA" w:rsidRDefault="0045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2760"/>
    <w:rsid w:val="00164E58"/>
    <w:rsid w:val="00180410"/>
    <w:rsid w:val="0018241E"/>
    <w:rsid w:val="00192D7A"/>
    <w:rsid w:val="00192DBD"/>
    <w:rsid w:val="001B11D8"/>
    <w:rsid w:val="001C2BFA"/>
    <w:rsid w:val="001E1344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2F9A"/>
    <w:rsid w:val="0023315E"/>
    <w:rsid w:val="00236AAD"/>
    <w:rsid w:val="00243949"/>
    <w:rsid w:val="00253F29"/>
    <w:rsid w:val="002A3FF1"/>
    <w:rsid w:val="002B23B3"/>
    <w:rsid w:val="002B4BD9"/>
    <w:rsid w:val="002C111B"/>
    <w:rsid w:val="002C4281"/>
    <w:rsid w:val="002C5E84"/>
    <w:rsid w:val="002D242C"/>
    <w:rsid w:val="002E19F8"/>
    <w:rsid w:val="0031780F"/>
    <w:rsid w:val="0037470A"/>
    <w:rsid w:val="00381BCC"/>
    <w:rsid w:val="00381F01"/>
    <w:rsid w:val="0039072E"/>
    <w:rsid w:val="003A2573"/>
    <w:rsid w:val="003A4E09"/>
    <w:rsid w:val="003A58C0"/>
    <w:rsid w:val="003B1BFD"/>
    <w:rsid w:val="003C63A3"/>
    <w:rsid w:val="003E707A"/>
    <w:rsid w:val="0040591D"/>
    <w:rsid w:val="004065D4"/>
    <w:rsid w:val="00410028"/>
    <w:rsid w:val="00426127"/>
    <w:rsid w:val="00432E34"/>
    <w:rsid w:val="00450566"/>
    <w:rsid w:val="004529BA"/>
    <w:rsid w:val="00453AE4"/>
    <w:rsid w:val="0045604A"/>
    <w:rsid w:val="00460BB6"/>
    <w:rsid w:val="004628F0"/>
    <w:rsid w:val="0047001A"/>
    <w:rsid w:val="00473187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58A5"/>
    <w:rsid w:val="0056635F"/>
    <w:rsid w:val="00566AA2"/>
    <w:rsid w:val="00584FFE"/>
    <w:rsid w:val="0059015A"/>
    <w:rsid w:val="00590672"/>
    <w:rsid w:val="005A73C8"/>
    <w:rsid w:val="005B76C0"/>
    <w:rsid w:val="005C076D"/>
    <w:rsid w:val="005C5C09"/>
    <w:rsid w:val="005D2D52"/>
    <w:rsid w:val="005E1524"/>
    <w:rsid w:val="005E30A8"/>
    <w:rsid w:val="006078AE"/>
    <w:rsid w:val="00612AFD"/>
    <w:rsid w:val="00615B1D"/>
    <w:rsid w:val="00622AC2"/>
    <w:rsid w:val="006358DF"/>
    <w:rsid w:val="00641E3E"/>
    <w:rsid w:val="00665DDD"/>
    <w:rsid w:val="006662A4"/>
    <w:rsid w:val="00675A32"/>
    <w:rsid w:val="00690015"/>
    <w:rsid w:val="00694C0D"/>
    <w:rsid w:val="006A48DC"/>
    <w:rsid w:val="006A4B85"/>
    <w:rsid w:val="006B05B9"/>
    <w:rsid w:val="006C0D4D"/>
    <w:rsid w:val="006E12F2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00714"/>
    <w:rsid w:val="00911182"/>
    <w:rsid w:val="00915D3C"/>
    <w:rsid w:val="00935881"/>
    <w:rsid w:val="0096239B"/>
    <w:rsid w:val="00970E54"/>
    <w:rsid w:val="009715AB"/>
    <w:rsid w:val="00981811"/>
    <w:rsid w:val="0098497D"/>
    <w:rsid w:val="00993C32"/>
    <w:rsid w:val="009941DF"/>
    <w:rsid w:val="009B20CA"/>
    <w:rsid w:val="009E1E4A"/>
    <w:rsid w:val="009E671F"/>
    <w:rsid w:val="009F1DC6"/>
    <w:rsid w:val="00A05547"/>
    <w:rsid w:val="00A167EE"/>
    <w:rsid w:val="00A202D6"/>
    <w:rsid w:val="00A45590"/>
    <w:rsid w:val="00A46331"/>
    <w:rsid w:val="00A735B5"/>
    <w:rsid w:val="00A804D5"/>
    <w:rsid w:val="00A83FA0"/>
    <w:rsid w:val="00A97525"/>
    <w:rsid w:val="00AB1C5B"/>
    <w:rsid w:val="00AB30C0"/>
    <w:rsid w:val="00AE5398"/>
    <w:rsid w:val="00AF3A71"/>
    <w:rsid w:val="00AF424E"/>
    <w:rsid w:val="00AF5B2B"/>
    <w:rsid w:val="00B00869"/>
    <w:rsid w:val="00B1359F"/>
    <w:rsid w:val="00B16456"/>
    <w:rsid w:val="00B170CD"/>
    <w:rsid w:val="00B32D2D"/>
    <w:rsid w:val="00B4607C"/>
    <w:rsid w:val="00B5278D"/>
    <w:rsid w:val="00B52CCB"/>
    <w:rsid w:val="00B66537"/>
    <w:rsid w:val="00B745FF"/>
    <w:rsid w:val="00B825C7"/>
    <w:rsid w:val="00BB75E3"/>
    <w:rsid w:val="00BC1E6A"/>
    <w:rsid w:val="00C06832"/>
    <w:rsid w:val="00C23F08"/>
    <w:rsid w:val="00C3451D"/>
    <w:rsid w:val="00C40334"/>
    <w:rsid w:val="00C427C6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41DBF"/>
    <w:rsid w:val="00D519A5"/>
    <w:rsid w:val="00D56874"/>
    <w:rsid w:val="00D67F0B"/>
    <w:rsid w:val="00D74659"/>
    <w:rsid w:val="00D82417"/>
    <w:rsid w:val="00D916AA"/>
    <w:rsid w:val="00D91D4D"/>
    <w:rsid w:val="00D96D02"/>
    <w:rsid w:val="00D97287"/>
    <w:rsid w:val="00DA0264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A505C"/>
    <w:rsid w:val="00EB22E6"/>
    <w:rsid w:val="00EB5C22"/>
    <w:rsid w:val="00EC7587"/>
    <w:rsid w:val="00ED20FF"/>
    <w:rsid w:val="00EE3C25"/>
    <w:rsid w:val="00F02778"/>
    <w:rsid w:val="00F0504F"/>
    <w:rsid w:val="00F151F3"/>
    <w:rsid w:val="00F16B89"/>
    <w:rsid w:val="00F24DEE"/>
    <w:rsid w:val="00F36B93"/>
    <w:rsid w:val="00F43535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2B8A10-D237-4ADD-81AD-73BAD40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C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7C78"/>
    <w:rPr>
      <w:i/>
      <w:iCs/>
    </w:rPr>
  </w:style>
  <w:style w:type="character" w:customStyle="1" w:styleId="a4">
    <w:name w:val="日期 字符"/>
    <w:link w:val="a5"/>
    <w:rsid w:val="00CC7C78"/>
    <w:rPr>
      <w:kern w:val="2"/>
      <w:sz w:val="24"/>
      <w:szCs w:val="24"/>
    </w:rPr>
  </w:style>
  <w:style w:type="character" w:styleId="a6">
    <w:name w:val="Hyperlink"/>
    <w:rsid w:val="00CC7C78"/>
    <w:rPr>
      <w:color w:val="0563C1"/>
      <w:u w:val="single"/>
    </w:rPr>
  </w:style>
  <w:style w:type="character" w:styleId="a7">
    <w:name w:val="page number"/>
    <w:basedOn w:val="a0"/>
    <w:rsid w:val="00CC7C78"/>
  </w:style>
  <w:style w:type="character" w:customStyle="1" w:styleId="Char1">
    <w:name w:val="纯文本 Char1"/>
    <w:rsid w:val="00CC7C7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9"/>
    <w:rsid w:val="00CC7C78"/>
    <w:rPr>
      <w:kern w:val="2"/>
      <w:sz w:val="18"/>
      <w:szCs w:val="18"/>
    </w:rPr>
  </w:style>
  <w:style w:type="character" w:customStyle="1" w:styleId="aa">
    <w:name w:val="纯文本 字符"/>
    <w:link w:val="ab"/>
    <w:locked/>
    <w:rsid w:val="00CC7C78"/>
    <w:rPr>
      <w:rFonts w:ascii="宋体" w:hAnsi="Courier New"/>
    </w:rPr>
  </w:style>
  <w:style w:type="paragraph" w:styleId="a5">
    <w:name w:val="Date"/>
    <w:basedOn w:val="a"/>
    <w:next w:val="a"/>
    <w:link w:val="a4"/>
    <w:rsid w:val="00CC7C78"/>
    <w:pPr>
      <w:ind w:leftChars="2500" w:left="100"/>
    </w:pPr>
  </w:style>
  <w:style w:type="paragraph" w:styleId="a9">
    <w:name w:val="Balloon Text"/>
    <w:basedOn w:val="a"/>
    <w:link w:val="a8"/>
    <w:rsid w:val="00CC7C78"/>
    <w:rPr>
      <w:sz w:val="18"/>
      <w:szCs w:val="18"/>
    </w:rPr>
  </w:style>
  <w:style w:type="paragraph" w:styleId="ac">
    <w:name w:val="header"/>
    <w:basedOn w:val="a"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99"/>
    <w:qFormat/>
    <w:rsid w:val="00CC7C78"/>
    <w:pPr>
      <w:ind w:firstLineChars="200" w:firstLine="420"/>
    </w:pPr>
    <w:rPr>
      <w:rFonts w:ascii="Calibri" w:hAnsi="Calibri"/>
      <w:sz w:val="21"/>
      <w:szCs w:val="22"/>
    </w:rPr>
  </w:style>
  <w:style w:type="paragraph" w:styleId="ab">
    <w:name w:val="Plain Text"/>
    <w:basedOn w:val="a"/>
    <w:link w:val="aa"/>
    <w:unhideWhenUsed/>
    <w:rsid w:val="00CC7C78"/>
    <w:rPr>
      <w:rFonts w:ascii="宋体" w:hAnsi="Courier New"/>
      <w:kern w:val="0"/>
      <w:sz w:val="20"/>
      <w:szCs w:val="20"/>
    </w:rPr>
  </w:style>
  <w:style w:type="character" w:styleId="af">
    <w:name w:val="annotation reference"/>
    <w:rsid w:val="001E59E5"/>
    <w:rPr>
      <w:sz w:val="21"/>
      <w:szCs w:val="21"/>
    </w:rPr>
  </w:style>
  <w:style w:type="paragraph" w:styleId="af0">
    <w:name w:val="annotation text"/>
    <w:basedOn w:val="a"/>
    <w:link w:val="af1"/>
    <w:rsid w:val="001E59E5"/>
    <w:pPr>
      <w:jc w:val="left"/>
    </w:pPr>
  </w:style>
  <w:style w:type="character" w:customStyle="1" w:styleId="af1">
    <w:name w:val="批注文字 字符"/>
    <w:link w:val="af0"/>
    <w:rsid w:val="001E59E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E59E5"/>
    <w:rPr>
      <w:b/>
      <w:bCs/>
    </w:rPr>
  </w:style>
  <w:style w:type="character" w:customStyle="1" w:styleId="af3">
    <w:name w:val="批注主题 字符"/>
    <w:link w:val="af2"/>
    <w:rsid w:val="001E59E5"/>
    <w:rPr>
      <w:b/>
      <w:bCs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subject/>
  <dc:creator>User</dc:creator>
  <cp:keywords/>
  <dc:description/>
  <cp:lastModifiedBy>袁皓</cp:lastModifiedBy>
  <cp:revision>2</cp:revision>
  <cp:lastPrinted>2018-06-15T03:11:00Z</cp:lastPrinted>
  <dcterms:created xsi:type="dcterms:W3CDTF">2018-06-19T05:41:00Z</dcterms:created>
  <dcterms:modified xsi:type="dcterms:W3CDTF">2018-06-19T05:41:00Z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