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568" w:tblpY="251"/>
        <w:tblW w:w="10065" w:type="dxa"/>
        <w:tblInd w:w="0" w:type="dxa"/>
        <w:tblLayout w:type="autofit"/>
        <w:tblCellMar>
          <w:top w:w="0" w:type="dxa"/>
          <w:left w:w="108" w:type="dxa"/>
          <w:bottom w:w="0" w:type="dxa"/>
          <w:right w:w="108" w:type="dxa"/>
        </w:tblCellMar>
      </w:tblPr>
      <w:tblGrid>
        <w:gridCol w:w="1418"/>
        <w:gridCol w:w="4394"/>
        <w:gridCol w:w="992"/>
        <w:gridCol w:w="2268"/>
        <w:gridCol w:w="993"/>
      </w:tblGrid>
      <w:tr>
        <w:tblPrEx>
          <w:tblCellMar>
            <w:top w:w="0" w:type="dxa"/>
            <w:left w:w="108" w:type="dxa"/>
            <w:bottom w:w="0" w:type="dxa"/>
            <w:right w:w="108" w:type="dxa"/>
          </w:tblCellMar>
        </w:tblPrEx>
        <w:trPr>
          <w:trHeight w:val="1702" w:hRule="atLeast"/>
        </w:trPr>
        <w:tc>
          <w:tcPr>
            <w:tcW w:w="9072" w:type="dxa"/>
            <w:gridSpan w:val="4"/>
            <w:tcBorders>
              <w:top w:val="nil"/>
              <w:left w:val="nil"/>
              <w:bottom w:val="single" w:color="auto" w:sz="4" w:space="0"/>
              <w:right w:val="nil"/>
            </w:tcBorders>
            <w:shd w:val="clear" w:color="auto" w:fill="auto"/>
            <w:noWrap/>
            <w:vAlign w:val="center"/>
          </w:tcPr>
          <w:p>
            <w:pPr>
              <w:jc w:val="both"/>
              <w:rPr>
                <w:rFonts w:ascii="黑体" w:hAnsi="黑体" w:eastAsia="黑体" w:cs="Times New Roman"/>
                <w:bCs/>
                <w:color w:val="000000" w:themeColor="text1"/>
                <w:sz w:val="32"/>
                <w:szCs w:val="36"/>
                <w14:textFill>
                  <w14:solidFill>
                    <w14:schemeClr w14:val="tx1"/>
                  </w14:solidFill>
                </w14:textFill>
              </w:rPr>
            </w:pPr>
            <w:r>
              <w:rPr>
                <w:rFonts w:ascii="黑体" w:hAnsi="黑体" w:eastAsia="黑体" w:cs="Times New Roman"/>
                <w:bCs/>
                <w:color w:val="000000" w:themeColor="text1"/>
                <w:sz w:val="32"/>
                <w:szCs w:val="36"/>
                <w14:textFill>
                  <w14:solidFill>
                    <w14:schemeClr w14:val="tx1"/>
                  </w14:solidFill>
                </w14:textFill>
              </w:rPr>
              <w:t>附件1</w:t>
            </w:r>
          </w:p>
          <w:p>
            <w:pPr>
              <w:jc w:val="both"/>
              <w:rPr>
                <w:rFonts w:ascii="Times New Roman" w:hAnsi="Times New Roman" w:eastAsia="微软雅黑" w:cs="Times New Roman"/>
                <w:sz w:val="32"/>
                <w:szCs w:val="32"/>
              </w:rPr>
            </w:pPr>
          </w:p>
          <w:p>
            <w:pPr>
              <w:jc w:val="both"/>
              <w:rPr>
                <w:rFonts w:hint="eastAsia" w:ascii="Times New Roman" w:hAnsi="Times New Roman" w:eastAsia="微软雅黑" w:cs="Times New Roman"/>
                <w:sz w:val="32"/>
                <w:szCs w:val="32"/>
              </w:rPr>
            </w:pPr>
            <w:r>
              <w:rPr>
                <w:rFonts w:hint="eastAsia" w:ascii="Times New Roman" w:hAnsi="Times New Roman" w:eastAsia="微软雅黑" w:cs="Times New Roman"/>
                <w:sz w:val="32"/>
                <w:szCs w:val="32"/>
              </w:rPr>
              <w:t xml:space="preserve"> </w:t>
            </w:r>
            <w:r>
              <w:rPr>
                <w:rFonts w:ascii="Times New Roman" w:hAnsi="Times New Roman" w:eastAsia="微软雅黑" w:cs="Times New Roman"/>
                <w:sz w:val="32"/>
                <w:szCs w:val="32"/>
              </w:rPr>
              <w:t xml:space="preserve"> </w:t>
            </w:r>
          </w:p>
          <w:p>
            <w:pPr>
              <w:spacing w:after="120" w:afterLines="50"/>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6"/>
                <w:szCs w:val="36"/>
              </w:rPr>
              <w:t xml:space="preserve"> </w:t>
            </w:r>
            <w:r>
              <w:rPr>
                <w:rFonts w:ascii="方正小标宋简体" w:hAnsi="Times New Roman" w:eastAsia="方正小标宋简体" w:cs="Times New Roman"/>
                <w:sz w:val="36"/>
                <w:szCs w:val="36"/>
              </w:rPr>
              <w:t xml:space="preserve">           </w:t>
            </w:r>
            <w:r>
              <w:rPr>
                <w:rFonts w:hint="eastAsia" w:ascii="方正小标宋简体" w:hAnsi="Times New Roman" w:eastAsia="方正小标宋简体" w:cs="Times New Roman"/>
                <w:sz w:val="36"/>
                <w:szCs w:val="36"/>
              </w:rPr>
              <w:t>第十二届全国妇产科药学大会日程表</w:t>
            </w:r>
          </w:p>
          <w:p>
            <w:pPr>
              <w:jc w:val="both"/>
              <w:rPr>
                <w:rFonts w:ascii="Times New Roman" w:hAnsi="Times New Roman" w:eastAsia="微软雅黑" w:cs="Times New Roman"/>
                <w:sz w:val="32"/>
                <w:szCs w:val="32"/>
              </w:rPr>
            </w:pPr>
          </w:p>
        </w:tc>
        <w:tc>
          <w:tcPr>
            <w:tcW w:w="993" w:type="dxa"/>
            <w:tcBorders>
              <w:top w:val="nil"/>
              <w:left w:val="nil"/>
              <w:bottom w:val="single" w:color="auto" w:sz="4" w:space="0"/>
              <w:right w:val="nil"/>
            </w:tcBorders>
            <w:shd w:val="clear" w:color="auto" w:fill="auto"/>
            <w:noWrap/>
            <w:vAlign w:val="center"/>
          </w:tcPr>
          <w:p>
            <w:pPr>
              <w:jc w:val="both"/>
              <w:rPr>
                <w:rFonts w:ascii="Times New Roman" w:hAnsi="Times New Roman" w:eastAsia="微软雅黑" w:cs="Times New Roman"/>
                <w:sz w:val="32"/>
                <w:szCs w:val="32"/>
              </w:rPr>
            </w:pPr>
          </w:p>
        </w:tc>
      </w:tr>
      <w:tr>
        <w:tblPrEx>
          <w:tblCellMar>
            <w:top w:w="0" w:type="dxa"/>
            <w:left w:w="108" w:type="dxa"/>
            <w:bottom w:w="0" w:type="dxa"/>
            <w:right w:w="108" w:type="dxa"/>
          </w:tblCellMar>
        </w:tblPrEx>
        <w:trPr>
          <w:trHeight w:val="687" w:hRule="atLeast"/>
        </w:trPr>
        <w:tc>
          <w:tcPr>
            <w:tcW w:w="1418"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cs="Times New Roman" w:asciiTheme="minorEastAsia" w:hAnsiTheme="minorEastAsia" w:eastAsiaTheme="minorEastAsia"/>
                <w:b/>
                <w:bCs/>
                <w:color w:val="111111"/>
                <w:sz w:val="28"/>
                <w:szCs w:val="28"/>
              </w:rPr>
            </w:pPr>
            <w:r>
              <w:rPr>
                <w:rFonts w:cs="Times New Roman" w:asciiTheme="minorEastAsia" w:hAnsiTheme="minorEastAsia" w:eastAsiaTheme="minorEastAsia"/>
                <w:b/>
                <w:bCs/>
                <w:color w:val="111111"/>
                <w:sz w:val="28"/>
                <w:szCs w:val="28"/>
              </w:rPr>
              <w:t>11月24日</w:t>
            </w:r>
          </w:p>
        </w:tc>
        <w:tc>
          <w:tcPr>
            <w:tcW w:w="4394" w:type="dxa"/>
            <w:tcBorders>
              <w:top w:val="single" w:color="auto" w:sz="4" w:space="0"/>
              <w:left w:val="nil"/>
              <w:bottom w:val="single" w:color="auto" w:sz="4" w:space="0"/>
              <w:right w:val="single" w:color="auto" w:sz="4" w:space="0"/>
            </w:tcBorders>
            <w:shd w:val="clear" w:color="000000" w:fill="D9D9D9"/>
            <w:vAlign w:val="center"/>
          </w:tcPr>
          <w:p>
            <w:pPr>
              <w:jc w:val="center"/>
              <w:rPr>
                <w:rFonts w:cs="Times New Roman" w:asciiTheme="minorEastAsia" w:hAnsiTheme="minorEastAsia" w:eastAsiaTheme="minorEastAsia"/>
                <w:b/>
                <w:bCs/>
                <w:color w:val="111111"/>
                <w:sz w:val="28"/>
                <w:szCs w:val="28"/>
              </w:rPr>
            </w:pPr>
            <w:r>
              <w:rPr>
                <w:rFonts w:hint="eastAsia" w:cs="Times New Roman" w:asciiTheme="minorEastAsia" w:hAnsiTheme="minorEastAsia" w:eastAsiaTheme="minorEastAsia"/>
                <w:b/>
                <w:bCs/>
                <w:color w:val="111111"/>
                <w:sz w:val="28"/>
                <w:szCs w:val="28"/>
              </w:rPr>
              <w:t>报告</w:t>
            </w:r>
            <w:r>
              <w:rPr>
                <w:rFonts w:cs="Times New Roman" w:asciiTheme="minorEastAsia" w:hAnsiTheme="minorEastAsia" w:eastAsiaTheme="minorEastAsia"/>
                <w:b/>
                <w:bCs/>
                <w:color w:val="111111"/>
                <w:sz w:val="28"/>
                <w:szCs w:val="28"/>
              </w:rPr>
              <w:t>题目</w:t>
            </w:r>
          </w:p>
        </w:tc>
        <w:tc>
          <w:tcPr>
            <w:tcW w:w="992" w:type="dxa"/>
            <w:tcBorders>
              <w:top w:val="single" w:color="auto" w:sz="4" w:space="0"/>
              <w:left w:val="nil"/>
              <w:bottom w:val="single" w:color="auto" w:sz="4" w:space="0"/>
              <w:right w:val="single" w:color="auto" w:sz="4" w:space="0"/>
            </w:tcBorders>
            <w:shd w:val="clear" w:color="000000" w:fill="D9D9D9"/>
            <w:vAlign w:val="center"/>
          </w:tcPr>
          <w:p>
            <w:pPr>
              <w:jc w:val="center"/>
              <w:rPr>
                <w:rFonts w:cs="Times New Roman" w:asciiTheme="minorEastAsia" w:hAnsiTheme="minorEastAsia" w:eastAsiaTheme="minorEastAsia"/>
                <w:b/>
                <w:bCs/>
                <w:color w:val="111111"/>
                <w:sz w:val="28"/>
                <w:szCs w:val="28"/>
              </w:rPr>
            </w:pPr>
            <w:r>
              <w:rPr>
                <w:rFonts w:hint="eastAsia" w:cs="Times New Roman" w:asciiTheme="minorEastAsia" w:hAnsiTheme="minorEastAsia" w:eastAsiaTheme="minorEastAsia"/>
                <w:b/>
                <w:bCs/>
                <w:color w:val="111111"/>
                <w:sz w:val="28"/>
                <w:szCs w:val="28"/>
              </w:rPr>
              <w:t>讲者</w:t>
            </w:r>
          </w:p>
        </w:tc>
        <w:tc>
          <w:tcPr>
            <w:tcW w:w="2268" w:type="dxa"/>
            <w:tcBorders>
              <w:top w:val="single" w:color="auto" w:sz="4" w:space="0"/>
              <w:left w:val="nil"/>
              <w:bottom w:val="single" w:color="auto" w:sz="4" w:space="0"/>
              <w:right w:val="single" w:color="auto" w:sz="4" w:space="0"/>
            </w:tcBorders>
            <w:shd w:val="clear" w:color="000000" w:fill="D9D9D9"/>
            <w:vAlign w:val="center"/>
          </w:tcPr>
          <w:p>
            <w:pPr>
              <w:jc w:val="center"/>
              <w:rPr>
                <w:rFonts w:cs="Times New Roman" w:asciiTheme="minorEastAsia" w:hAnsiTheme="minorEastAsia" w:eastAsiaTheme="minorEastAsia"/>
                <w:b/>
                <w:bCs/>
                <w:color w:val="111111"/>
                <w:sz w:val="28"/>
                <w:szCs w:val="28"/>
              </w:rPr>
            </w:pPr>
            <w:r>
              <w:rPr>
                <w:rFonts w:cs="Times New Roman" w:asciiTheme="minorEastAsia" w:hAnsiTheme="minorEastAsia" w:eastAsiaTheme="minorEastAsia"/>
                <w:b/>
                <w:bCs/>
                <w:color w:val="111111"/>
                <w:sz w:val="28"/>
                <w:szCs w:val="28"/>
              </w:rPr>
              <w:t>工作单位</w:t>
            </w:r>
          </w:p>
        </w:tc>
        <w:tc>
          <w:tcPr>
            <w:tcW w:w="993" w:type="dxa"/>
            <w:tcBorders>
              <w:top w:val="single" w:color="auto" w:sz="4" w:space="0"/>
              <w:left w:val="nil"/>
              <w:bottom w:val="single" w:color="auto" w:sz="4" w:space="0"/>
              <w:right w:val="single" w:color="auto" w:sz="4" w:space="0"/>
            </w:tcBorders>
            <w:shd w:val="clear" w:color="000000" w:fill="D9D9D9"/>
            <w:vAlign w:val="center"/>
          </w:tcPr>
          <w:p>
            <w:pPr>
              <w:jc w:val="center"/>
              <w:rPr>
                <w:rFonts w:cs="Times New Roman" w:asciiTheme="minorEastAsia" w:hAnsiTheme="minorEastAsia" w:eastAsiaTheme="minorEastAsia"/>
                <w:b/>
                <w:bCs/>
                <w:color w:val="111111"/>
                <w:sz w:val="28"/>
                <w:szCs w:val="28"/>
              </w:rPr>
            </w:pPr>
            <w:r>
              <w:rPr>
                <w:rFonts w:cs="Times New Roman" w:asciiTheme="minorEastAsia" w:hAnsiTheme="minorEastAsia" w:eastAsiaTheme="minorEastAsia"/>
                <w:b/>
                <w:bCs/>
                <w:color w:val="111111"/>
                <w:sz w:val="28"/>
                <w:szCs w:val="28"/>
              </w:rPr>
              <w:t>主持</w:t>
            </w:r>
          </w:p>
        </w:tc>
      </w:tr>
      <w:tr>
        <w:tblPrEx>
          <w:tblCellMar>
            <w:top w:w="0" w:type="dxa"/>
            <w:left w:w="108" w:type="dxa"/>
            <w:bottom w:w="0" w:type="dxa"/>
            <w:right w:w="108" w:type="dxa"/>
          </w:tblCellMar>
        </w:tblPrEx>
        <w:trPr>
          <w:trHeight w:val="71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19:00-21:00</w:t>
            </w:r>
          </w:p>
        </w:tc>
        <w:tc>
          <w:tcPr>
            <w:tcW w:w="864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中国药学会医院药学专业委员会妇产科药学工作会议</w:t>
            </w:r>
          </w:p>
        </w:tc>
      </w:tr>
      <w:tr>
        <w:tblPrEx>
          <w:tblCellMar>
            <w:top w:w="0" w:type="dxa"/>
            <w:left w:w="108" w:type="dxa"/>
            <w:bottom w:w="0" w:type="dxa"/>
            <w:right w:w="108" w:type="dxa"/>
          </w:tblCellMar>
        </w:tblPrEx>
        <w:trPr>
          <w:trHeight w:val="693" w:hRule="atLeast"/>
        </w:trPr>
        <w:tc>
          <w:tcPr>
            <w:tcW w:w="1418"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eastAsia="宋体" w:cs="Times New Roman"/>
                <w:b/>
                <w:bCs/>
                <w:color w:val="111111"/>
                <w:sz w:val="28"/>
                <w:szCs w:val="28"/>
              </w:rPr>
            </w:pPr>
            <w:r>
              <w:rPr>
                <w:rFonts w:ascii="宋体" w:hAnsi="宋体" w:eastAsia="宋体" w:cs="Times New Roman"/>
                <w:b/>
                <w:bCs/>
                <w:color w:val="111111"/>
                <w:sz w:val="28"/>
                <w:szCs w:val="28"/>
              </w:rPr>
              <w:t>11月25日</w:t>
            </w:r>
          </w:p>
        </w:tc>
        <w:tc>
          <w:tcPr>
            <w:tcW w:w="4394"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eastAsia="宋体" w:cs="Times New Roman"/>
                <w:b/>
                <w:bCs/>
                <w:color w:val="111111"/>
                <w:sz w:val="28"/>
                <w:szCs w:val="28"/>
              </w:rPr>
            </w:pPr>
            <w:r>
              <w:rPr>
                <w:rFonts w:ascii="宋体" w:hAnsi="宋体" w:eastAsia="宋体" w:cs="Times New Roman"/>
                <w:b/>
                <w:bCs/>
                <w:color w:val="111111"/>
                <w:sz w:val="28"/>
                <w:szCs w:val="28"/>
              </w:rPr>
              <w:t>报告题目</w:t>
            </w:r>
          </w:p>
        </w:tc>
        <w:tc>
          <w:tcPr>
            <w:tcW w:w="992"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eastAsia="宋体" w:cs="Times New Roman"/>
                <w:b/>
                <w:bCs/>
                <w:color w:val="111111"/>
                <w:sz w:val="28"/>
                <w:szCs w:val="28"/>
              </w:rPr>
            </w:pPr>
            <w:r>
              <w:rPr>
                <w:rFonts w:ascii="宋体" w:hAnsi="宋体" w:eastAsia="宋体" w:cs="Times New Roman"/>
                <w:b/>
                <w:bCs/>
                <w:color w:val="111111"/>
                <w:sz w:val="28"/>
                <w:szCs w:val="28"/>
              </w:rPr>
              <w:t>讲者</w:t>
            </w:r>
          </w:p>
        </w:tc>
        <w:tc>
          <w:tcPr>
            <w:tcW w:w="2268"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eastAsia="宋体" w:cs="Times New Roman"/>
                <w:b/>
                <w:bCs/>
                <w:color w:val="111111"/>
                <w:sz w:val="28"/>
                <w:szCs w:val="28"/>
              </w:rPr>
            </w:pPr>
            <w:r>
              <w:rPr>
                <w:rFonts w:ascii="宋体" w:hAnsi="宋体" w:eastAsia="宋体" w:cs="Times New Roman"/>
                <w:b/>
                <w:bCs/>
                <w:color w:val="111111"/>
                <w:sz w:val="28"/>
                <w:szCs w:val="28"/>
              </w:rPr>
              <w:t>工作单位</w:t>
            </w:r>
          </w:p>
        </w:tc>
        <w:tc>
          <w:tcPr>
            <w:tcW w:w="993"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eastAsia="宋体" w:cs="Times New Roman"/>
                <w:b/>
                <w:bCs/>
                <w:color w:val="111111"/>
                <w:sz w:val="28"/>
                <w:szCs w:val="28"/>
              </w:rPr>
            </w:pPr>
            <w:r>
              <w:rPr>
                <w:rFonts w:ascii="宋体" w:hAnsi="宋体" w:eastAsia="宋体" w:cs="Times New Roman"/>
                <w:b/>
                <w:bCs/>
                <w:color w:val="111111"/>
                <w:sz w:val="28"/>
                <w:szCs w:val="28"/>
              </w:rPr>
              <w:t>主持</w:t>
            </w:r>
          </w:p>
        </w:tc>
      </w:tr>
      <w:tr>
        <w:tblPrEx>
          <w:tblCellMar>
            <w:top w:w="0" w:type="dxa"/>
            <w:left w:w="108" w:type="dxa"/>
            <w:bottom w:w="0" w:type="dxa"/>
            <w:right w:w="108" w:type="dxa"/>
          </w:tblCellMar>
        </w:tblPrEx>
        <w:trPr>
          <w:trHeight w:val="586"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08:30-09:00</w:t>
            </w:r>
          </w:p>
        </w:tc>
        <w:tc>
          <w:tcPr>
            <w:tcW w:w="7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111111"/>
                <w:sz w:val="24"/>
                <w:szCs w:val="24"/>
              </w:rPr>
            </w:pPr>
            <w:r>
              <w:rPr>
                <w:rFonts w:ascii="Times New Roman" w:hAnsi="Times New Roman" w:eastAsia="仿宋" w:cs="Times New Roman"/>
                <w:color w:val="111111"/>
                <w:sz w:val="24"/>
                <w:szCs w:val="24"/>
              </w:rPr>
              <w:t>致</w:t>
            </w:r>
            <w:r>
              <w:rPr>
                <w:rFonts w:hint="eastAsia" w:ascii="Times New Roman" w:hAnsi="Times New Roman" w:eastAsia="仿宋" w:cs="Times New Roman"/>
                <w:color w:val="111111"/>
                <w:sz w:val="24"/>
                <w:szCs w:val="24"/>
              </w:rPr>
              <w:t xml:space="preserve"> </w:t>
            </w:r>
            <w:r>
              <w:rPr>
                <w:rFonts w:ascii="Times New Roman" w:hAnsi="Times New Roman" w:eastAsia="仿宋" w:cs="Times New Roman"/>
                <w:color w:val="111111"/>
                <w:sz w:val="24"/>
                <w:szCs w:val="24"/>
              </w:rPr>
              <w:t xml:space="preserve">   辞</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郑彩虹</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09:00-09:45</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出生人口健康的医学挑战</w:t>
            </w:r>
          </w:p>
        </w:tc>
        <w:tc>
          <w:tcPr>
            <w:tcW w:w="992"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黄荷凤院士</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中国科学院</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池里群</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09:45-10:00</w:t>
            </w:r>
          </w:p>
        </w:tc>
        <w:tc>
          <w:tcPr>
            <w:tcW w:w="8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茶歇</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10:00-10:30</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DRG付费时代下的合理用药</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岳小林</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 w:cs="Times New Roman"/>
                <w:color w:val="222222"/>
                <w:sz w:val="24"/>
                <w:szCs w:val="24"/>
              </w:rPr>
            </w:pPr>
            <w:r>
              <w:rPr>
                <w:rFonts w:ascii="Times New Roman" w:hAnsi="Times New Roman" w:eastAsia="仿宋" w:cs="Times New Roman"/>
                <w:color w:val="222222"/>
                <w:sz w:val="24"/>
                <w:szCs w:val="24"/>
              </w:rPr>
              <w:t>首都医科大学附属宣武医院</w:t>
            </w:r>
          </w:p>
        </w:tc>
        <w:tc>
          <w:tcPr>
            <w:tcW w:w="993"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冯  欣</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10:30-11:00</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医保支付方式改革下医院药学学科发展的思考</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缪丽燕</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苏州大学附属</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第一医院</w:t>
            </w:r>
          </w:p>
        </w:tc>
        <w:tc>
          <w:tcPr>
            <w:tcW w:w="993"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11:00-11:30</w:t>
            </w:r>
          </w:p>
        </w:tc>
        <w:tc>
          <w:tcPr>
            <w:tcW w:w="4394" w:type="dxa"/>
            <w:tcBorders>
              <w:top w:val="single" w:color="auto" w:sz="4" w:space="0"/>
              <w:left w:val="nil"/>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基础与临床医药结合研究的思考</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高建青</w:t>
            </w:r>
          </w:p>
        </w:tc>
        <w:tc>
          <w:tcPr>
            <w:tcW w:w="2268"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浙江大学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赵青威</w:t>
            </w:r>
          </w:p>
        </w:tc>
      </w:tr>
      <w:tr>
        <w:tblPrEx>
          <w:tblCellMar>
            <w:top w:w="0" w:type="dxa"/>
            <w:left w:w="108" w:type="dxa"/>
            <w:bottom w:w="0" w:type="dxa"/>
            <w:right w:w="108" w:type="dxa"/>
          </w:tblCellMar>
        </w:tblPrEx>
        <w:trPr>
          <w:trHeight w:val="588" w:hRule="atLeast"/>
        </w:trPr>
        <w:tc>
          <w:tcPr>
            <w:tcW w:w="1418"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11:30-13:30</w:t>
            </w:r>
          </w:p>
        </w:tc>
        <w:tc>
          <w:tcPr>
            <w:tcW w:w="8647" w:type="dxa"/>
            <w:gridSpan w:val="4"/>
            <w:tcBorders>
              <w:top w:val="single" w:color="auto" w:sz="4" w:space="0"/>
              <w:left w:val="nil"/>
              <w:bottom w:val="double" w:color="auto" w:sz="4" w:space="0"/>
              <w:right w:val="single" w:color="auto" w:sz="4" w:space="0"/>
            </w:tcBorders>
            <w:shd w:val="clear" w:color="auto" w:fill="auto"/>
            <w:noWrap/>
            <w:vAlign w:val="center"/>
          </w:tcPr>
          <w:p>
            <w:pPr>
              <w:ind w:firstLine="3600" w:firstLineChars="1500"/>
              <w:rPr>
                <w:rFonts w:ascii="Times New Roman" w:hAnsi="Times New Roman" w:eastAsia="仿宋" w:cs="Times New Roman"/>
                <w:sz w:val="24"/>
                <w:szCs w:val="24"/>
              </w:rPr>
            </w:pPr>
            <w:r>
              <w:rPr>
                <w:rFonts w:ascii="Times New Roman" w:hAnsi="Times New Roman" w:eastAsia="仿宋" w:cs="Times New Roman"/>
                <w:sz w:val="24"/>
                <w:szCs w:val="24"/>
              </w:rPr>
              <w:t>午</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   休</w:t>
            </w:r>
          </w:p>
        </w:tc>
      </w:tr>
      <w:tr>
        <w:tblPrEx>
          <w:tblCellMar>
            <w:top w:w="0" w:type="dxa"/>
            <w:left w:w="108" w:type="dxa"/>
            <w:bottom w:w="0" w:type="dxa"/>
            <w:right w:w="108" w:type="dxa"/>
          </w:tblCellMar>
        </w:tblPrEx>
        <w:trPr>
          <w:trHeight w:val="600" w:hRule="atLeast"/>
        </w:trPr>
        <w:tc>
          <w:tcPr>
            <w:tcW w:w="1418" w:type="dxa"/>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13:30-14:00</w:t>
            </w:r>
          </w:p>
        </w:tc>
        <w:tc>
          <w:tcPr>
            <w:tcW w:w="4394" w:type="dxa"/>
            <w:tcBorders>
              <w:top w:val="doub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育龄妇女疫苗的安全合理使用</w:t>
            </w:r>
          </w:p>
        </w:tc>
        <w:tc>
          <w:tcPr>
            <w:tcW w:w="992" w:type="dxa"/>
            <w:tcBorders>
              <w:top w:val="doub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敖海莲</w:t>
            </w:r>
          </w:p>
        </w:tc>
        <w:tc>
          <w:tcPr>
            <w:tcW w:w="2268" w:type="dxa"/>
            <w:tcBorders>
              <w:top w:val="doub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北京和睦家医院</w:t>
            </w:r>
          </w:p>
        </w:tc>
        <w:tc>
          <w:tcPr>
            <w:tcW w:w="993" w:type="dxa"/>
            <w:vMerge w:val="restart"/>
            <w:tcBorders>
              <w:top w:val="doub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虞燕霞</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金小越</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14:00-14:30</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临床药学学科建设与高质量发展</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赵荣生</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北京大学第三医院</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14:30-15:00</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构建人类卫生健康共同体-药品可及和使用指导的最后一厘米</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赵志刚</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首都医科大学附属北京天坛医院</w:t>
            </w:r>
          </w:p>
        </w:tc>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吕有标</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文晓柯</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15:00-15:30</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SCI论文写作与投稿</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郭焕芳</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中国医学科学院</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15:30-15:45</w:t>
            </w:r>
          </w:p>
        </w:tc>
        <w:tc>
          <w:tcPr>
            <w:tcW w:w="8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firstLine="3600" w:firstLineChars="15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休 </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息</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15:45-16:15</w:t>
            </w:r>
          </w:p>
        </w:tc>
        <w:tc>
          <w:tcPr>
            <w:tcW w:w="4394" w:type="dxa"/>
            <w:tcBorders>
              <w:top w:val="single" w:color="auto" w:sz="4" w:space="0"/>
              <w:left w:val="nil"/>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新医改背景下药学服务策略与价值</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黄  萍</w:t>
            </w:r>
          </w:p>
        </w:tc>
        <w:tc>
          <w:tcPr>
            <w:tcW w:w="2268"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浙江省人民医院</w:t>
            </w:r>
          </w:p>
        </w:tc>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史道华</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肖大立</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16:15-16:45</w:t>
            </w:r>
          </w:p>
        </w:tc>
        <w:tc>
          <w:tcPr>
            <w:tcW w:w="4394" w:type="dxa"/>
            <w:tcBorders>
              <w:top w:val="single" w:color="auto" w:sz="4" w:space="0"/>
              <w:left w:val="nil"/>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重组结核杆菌融合蛋白的临床综合评价</w:t>
            </w:r>
          </w:p>
        </w:tc>
        <w:tc>
          <w:tcPr>
            <w:tcW w:w="992" w:type="dxa"/>
            <w:tcBorders>
              <w:top w:val="single" w:color="auto" w:sz="4" w:space="0"/>
              <w:left w:val="nil"/>
              <w:bottom w:val="single" w:color="auto" w:sz="4" w:space="0"/>
              <w:right w:val="nil"/>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张伶俐</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四川大学附属华西第二医院</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693" w:hRule="atLeast"/>
        </w:trPr>
        <w:tc>
          <w:tcPr>
            <w:tcW w:w="1418"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eastAsia="宋体" w:cs="Times New Roman"/>
                <w:b/>
                <w:bCs/>
                <w:color w:val="111111"/>
                <w:sz w:val="28"/>
                <w:szCs w:val="28"/>
              </w:rPr>
            </w:pPr>
            <w:r>
              <w:rPr>
                <w:rFonts w:ascii="宋体" w:hAnsi="宋体" w:eastAsia="宋体" w:cs="Times New Roman"/>
                <w:b/>
                <w:bCs/>
                <w:color w:val="111111"/>
                <w:sz w:val="28"/>
                <w:szCs w:val="28"/>
              </w:rPr>
              <w:t>11月26日</w:t>
            </w:r>
          </w:p>
        </w:tc>
        <w:tc>
          <w:tcPr>
            <w:tcW w:w="4394"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eastAsia="宋体" w:cs="Times New Roman"/>
                <w:b/>
                <w:bCs/>
                <w:color w:val="111111"/>
                <w:sz w:val="28"/>
                <w:szCs w:val="28"/>
              </w:rPr>
            </w:pPr>
            <w:r>
              <w:rPr>
                <w:rFonts w:ascii="宋体" w:hAnsi="宋体" w:eastAsia="宋体" w:cs="Times New Roman"/>
                <w:b/>
                <w:bCs/>
                <w:color w:val="111111"/>
                <w:sz w:val="28"/>
                <w:szCs w:val="28"/>
              </w:rPr>
              <w:t>报告题目</w:t>
            </w:r>
          </w:p>
        </w:tc>
        <w:tc>
          <w:tcPr>
            <w:tcW w:w="992"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eastAsia="宋体" w:cs="Times New Roman"/>
                <w:b/>
                <w:bCs/>
                <w:color w:val="111111"/>
                <w:sz w:val="28"/>
                <w:szCs w:val="28"/>
              </w:rPr>
            </w:pPr>
            <w:r>
              <w:rPr>
                <w:rFonts w:ascii="宋体" w:hAnsi="宋体" w:eastAsia="宋体" w:cs="Times New Roman"/>
                <w:b/>
                <w:bCs/>
                <w:color w:val="111111"/>
                <w:sz w:val="28"/>
                <w:szCs w:val="28"/>
              </w:rPr>
              <w:t>讲者</w:t>
            </w:r>
          </w:p>
        </w:tc>
        <w:tc>
          <w:tcPr>
            <w:tcW w:w="2268"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eastAsia="宋体" w:cs="Times New Roman"/>
                <w:b/>
                <w:bCs/>
                <w:color w:val="111111"/>
                <w:sz w:val="28"/>
                <w:szCs w:val="28"/>
              </w:rPr>
            </w:pPr>
            <w:r>
              <w:rPr>
                <w:rFonts w:ascii="宋体" w:hAnsi="宋体" w:eastAsia="宋体" w:cs="Times New Roman"/>
                <w:b/>
                <w:bCs/>
                <w:color w:val="111111"/>
                <w:sz w:val="28"/>
                <w:szCs w:val="28"/>
              </w:rPr>
              <w:t>工作单位</w:t>
            </w:r>
          </w:p>
        </w:tc>
        <w:tc>
          <w:tcPr>
            <w:tcW w:w="993"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eastAsia="宋体" w:cs="Times New Roman"/>
                <w:b/>
                <w:bCs/>
                <w:color w:val="111111"/>
                <w:sz w:val="28"/>
                <w:szCs w:val="28"/>
              </w:rPr>
            </w:pPr>
            <w:r>
              <w:rPr>
                <w:rFonts w:ascii="宋体" w:hAnsi="宋体" w:eastAsia="宋体" w:cs="Times New Roman"/>
                <w:b/>
                <w:bCs/>
                <w:color w:val="111111"/>
                <w:sz w:val="28"/>
                <w:szCs w:val="28"/>
              </w:rPr>
              <w:t>主持</w:t>
            </w:r>
          </w:p>
        </w:tc>
      </w:tr>
      <w:tr>
        <w:tblPrEx>
          <w:tblCellMar>
            <w:top w:w="0" w:type="dxa"/>
            <w:left w:w="108" w:type="dxa"/>
            <w:bottom w:w="0" w:type="dxa"/>
            <w:right w:w="108" w:type="dxa"/>
          </w:tblCellMar>
        </w:tblPrEx>
        <w:trPr>
          <w:trHeight w:val="703"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08:30-09:00</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慢病治疗药物管理进展</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邱  峰</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重庆医科大学附属第一医院</w:t>
            </w:r>
          </w:p>
        </w:tc>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吴雅莉侯  凯</w:t>
            </w:r>
          </w:p>
        </w:tc>
      </w:tr>
      <w:tr>
        <w:tblPrEx>
          <w:tblCellMar>
            <w:top w:w="0" w:type="dxa"/>
            <w:left w:w="108" w:type="dxa"/>
            <w:bottom w:w="0" w:type="dxa"/>
            <w:right w:w="108" w:type="dxa"/>
          </w:tblCellMar>
        </w:tblPrEx>
        <w:trPr>
          <w:trHeight w:val="85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09:00-09:30</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宫缩抑制剂的有效性、安全性评价</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冯  欣</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首都医科大学附属北京妇产医院</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682"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09:30-10:00</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妊娠期常见感染药物选择</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杨  勇</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四川省人民医院</w:t>
            </w:r>
          </w:p>
        </w:tc>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戴海斌</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韩  钢</w:t>
            </w:r>
          </w:p>
        </w:tc>
      </w:tr>
      <w:tr>
        <w:tblPrEx>
          <w:tblCellMar>
            <w:top w:w="0" w:type="dxa"/>
            <w:left w:w="108" w:type="dxa"/>
            <w:bottom w:w="0" w:type="dxa"/>
            <w:right w:w="108" w:type="dxa"/>
          </w:tblCellMar>
        </w:tblPrEx>
        <w:trPr>
          <w:trHeight w:val="692"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10:00-10:30</w:t>
            </w:r>
          </w:p>
        </w:tc>
        <w:tc>
          <w:tcPr>
            <w:tcW w:w="4394" w:type="dxa"/>
            <w:tcBorders>
              <w:top w:val="single" w:color="auto" w:sz="4" w:space="0"/>
              <w:left w:val="nil"/>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超说明书用药的管理</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汤  静</w:t>
            </w:r>
          </w:p>
        </w:tc>
        <w:tc>
          <w:tcPr>
            <w:tcW w:w="2268"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复旦大学附属妇产科医院</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10:30-10:45</w:t>
            </w:r>
          </w:p>
        </w:tc>
        <w:tc>
          <w:tcPr>
            <w:tcW w:w="8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firstLine="3600" w:firstLineChars="15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休 </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息</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10:45-11:15</w:t>
            </w:r>
          </w:p>
        </w:tc>
        <w:tc>
          <w:tcPr>
            <w:tcW w:w="4394" w:type="dxa"/>
            <w:tcBorders>
              <w:top w:val="single" w:color="auto" w:sz="4" w:space="0"/>
              <w:left w:val="nil"/>
              <w:bottom w:val="single" w:color="auto" w:sz="4" w:space="0"/>
              <w:right w:val="single" w:color="auto" w:sz="4" w:space="0"/>
            </w:tcBorders>
            <w:shd w:val="clear" w:color="000000" w:fill="FFFFFF"/>
            <w:noWrap/>
            <w:vAlign w:val="center"/>
          </w:tcPr>
          <w:p>
            <w:pPr>
              <w:rPr>
                <w:rFonts w:ascii="Times New Roman" w:hAnsi="Times New Roman" w:eastAsia="仿宋" w:cs="Times New Roman"/>
                <w:spacing w:val="-8"/>
                <w:sz w:val="24"/>
                <w:szCs w:val="24"/>
              </w:rPr>
            </w:pPr>
            <w:r>
              <w:rPr>
                <w:rFonts w:ascii="Times New Roman" w:hAnsi="Times New Roman" w:eastAsia="仿宋" w:cs="Times New Roman"/>
                <w:spacing w:val="-8"/>
                <w:sz w:val="24"/>
                <w:szCs w:val="24"/>
              </w:rPr>
              <w:t>育龄妇女的医疗服务需求和用药风险防控</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周  颖</w:t>
            </w:r>
          </w:p>
        </w:tc>
        <w:tc>
          <w:tcPr>
            <w:tcW w:w="2268"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北京大学第一医院</w:t>
            </w:r>
          </w:p>
        </w:tc>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万  蒞</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李  根</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11:15-11:45</w:t>
            </w:r>
          </w:p>
        </w:tc>
        <w:tc>
          <w:tcPr>
            <w:tcW w:w="4394" w:type="dxa"/>
            <w:tcBorders>
              <w:top w:val="single" w:color="auto" w:sz="4" w:space="0"/>
              <w:left w:val="nil"/>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辅助生殖用药及风险因素</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张  海</w:t>
            </w:r>
          </w:p>
        </w:tc>
        <w:tc>
          <w:tcPr>
            <w:tcW w:w="2268"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同济大学附属</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第一妇婴保健院</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686" w:hRule="atLeast"/>
        </w:trPr>
        <w:tc>
          <w:tcPr>
            <w:tcW w:w="1418" w:type="dxa"/>
            <w:tcBorders>
              <w:top w:val="single" w:color="auto" w:sz="4" w:space="0"/>
              <w:left w:val="single" w:color="auto" w:sz="4" w:space="0"/>
              <w:bottom w:val="doub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11:45-13:30</w:t>
            </w:r>
          </w:p>
        </w:tc>
        <w:tc>
          <w:tcPr>
            <w:tcW w:w="8647" w:type="dxa"/>
            <w:gridSpan w:val="4"/>
            <w:tcBorders>
              <w:top w:val="single" w:color="auto" w:sz="4" w:space="0"/>
              <w:left w:val="single" w:color="auto" w:sz="4" w:space="0"/>
              <w:bottom w:val="double" w:color="auto" w:sz="4" w:space="0"/>
              <w:right w:val="single" w:color="auto" w:sz="4" w:space="0"/>
            </w:tcBorders>
            <w:shd w:val="clear" w:color="000000" w:fill="FFFFFF"/>
            <w:noWrap/>
            <w:vAlign w:val="center"/>
          </w:tcPr>
          <w:p>
            <w:pPr>
              <w:ind w:firstLine="3600" w:firstLineChars="1500"/>
              <w:rPr>
                <w:rFonts w:ascii="Times New Roman" w:hAnsi="Times New Roman" w:eastAsia="仿宋" w:cs="Times New Roman"/>
                <w:sz w:val="24"/>
                <w:szCs w:val="24"/>
              </w:rPr>
            </w:pPr>
            <w:r>
              <w:rPr>
                <w:rFonts w:ascii="Times New Roman" w:hAnsi="Times New Roman" w:eastAsia="仿宋" w:cs="Times New Roman"/>
                <w:sz w:val="24"/>
                <w:szCs w:val="24"/>
              </w:rPr>
              <w:t>午</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   休</w:t>
            </w:r>
          </w:p>
        </w:tc>
      </w:tr>
      <w:tr>
        <w:tblPrEx>
          <w:tblCellMar>
            <w:top w:w="0" w:type="dxa"/>
            <w:left w:w="108" w:type="dxa"/>
            <w:bottom w:w="0" w:type="dxa"/>
            <w:right w:w="108" w:type="dxa"/>
          </w:tblCellMar>
        </w:tblPrEx>
        <w:trPr>
          <w:trHeight w:val="600" w:hRule="atLeast"/>
        </w:trPr>
        <w:tc>
          <w:tcPr>
            <w:tcW w:w="1418" w:type="dxa"/>
            <w:tcBorders>
              <w:top w:val="doub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13:30-13:45</w:t>
            </w:r>
          </w:p>
        </w:tc>
        <w:tc>
          <w:tcPr>
            <w:tcW w:w="4394" w:type="dxa"/>
            <w:tcBorders>
              <w:top w:val="doub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耐药结核患者意外妊娠的循证案例分析</w:t>
            </w:r>
          </w:p>
        </w:tc>
        <w:tc>
          <w:tcPr>
            <w:tcW w:w="992" w:type="dxa"/>
            <w:tcBorders>
              <w:top w:val="doub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全淑燕</w:t>
            </w:r>
          </w:p>
        </w:tc>
        <w:tc>
          <w:tcPr>
            <w:tcW w:w="2268" w:type="dxa"/>
            <w:tcBorders>
              <w:top w:val="doub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陆军军医大学第二附属医院</w:t>
            </w:r>
          </w:p>
        </w:tc>
        <w:tc>
          <w:tcPr>
            <w:tcW w:w="993" w:type="dxa"/>
            <w:vMerge w:val="restart"/>
            <w:tcBorders>
              <w:top w:val="double" w:color="auto" w:sz="4" w:space="0"/>
              <w:left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陈  琳</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朱  莉</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13:45-14:00</w:t>
            </w:r>
          </w:p>
        </w:tc>
        <w:tc>
          <w:tcPr>
            <w:tcW w:w="43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全国112家医院门急诊患者孕激素类药物临床应用的处方大数据分析</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庞艳玉</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复旦大学附属</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华山医院</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复旦大学附属</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妇产科医院</w:t>
            </w:r>
          </w:p>
        </w:tc>
        <w:tc>
          <w:tcPr>
            <w:tcW w:w="993"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878"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14:00-14:15</w:t>
            </w:r>
          </w:p>
        </w:tc>
        <w:tc>
          <w:tcPr>
            <w:tcW w:w="43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1例体外受精-胚胎移植后血行播散型结核的病例分析与文献复习</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汪凤梅</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浙江大学医学院</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附属妇产科医院</w:t>
            </w:r>
          </w:p>
        </w:tc>
        <w:tc>
          <w:tcPr>
            <w:tcW w:w="993"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刘振国</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黎  明</w:t>
            </w:r>
          </w:p>
        </w:tc>
      </w:tr>
      <w:tr>
        <w:tblPrEx>
          <w:tblCellMar>
            <w:top w:w="0" w:type="dxa"/>
            <w:left w:w="108" w:type="dxa"/>
            <w:bottom w:w="0" w:type="dxa"/>
            <w:right w:w="108" w:type="dxa"/>
          </w:tblCellMar>
        </w:tblPrEx>
        <w:trPr>
          <w:trHeight w:val="852"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14:15-14:30</w:t>
            </w:r>
          </w:p>
        </w:tc>
        <w:tc>
          <w:tcPr>
            <w:tcW w:w="43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一例头孢哌酮舒巴坦致妊娠期肝内胆汁淤积症患者凝血功能异常的案例分析</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张  娜</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石家庄市第四医院</w:t>
            </w:r>
          </w:p>
        </w:tc>
        <w:tc>
          <w:tcPr>
            <w:tcW w:w="993" w:type="dxa"/>
            <w:vMerge w:val="continue"/>
            <w:tcBorders>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14:30-14:45</w:t>
            </w:r>
          </w:p>
        </w:tc>
        <w:tc>
          <w:tcPr>
            <w:tcW w:w="43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一例儿童卵巢颗粒细胞瘤患者化疗方案的案例分析</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安  涛</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浙江大学医学院</w:t>
            </w:r>
          </w:p>
          <w:p>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附属妇产科医院</w:t>
            </w:r>
          </w:p>
          <w:p>
            <w:pPr>
              <w:jc w:val="center"/>
              <w:rPr>
                <w:rFonts w:ascii="Times New Roman" w:hAnsi="Times New Roman" w:eastAsia="仿宋" w:cs="Times New Roman"/>
                <w:sz w:val="24"/>
                <w:szCs w:val="24"/>
              </w:rPr>
            </w:pPr>
            <w:r>
              <w:rPr>
                <w:rFonts w:ascii="Times New Roman" w:hAnsi="Times New Roman" w:eastAsia="仿宋" w:cs="Times New Roman"/>
                <w:color w:val="auto"/>
                <w:sz w:val="24"/>
                <w:szCs w:val="24"/>
              </w:rPr>
              <w:t>青海红十字医院</w:t>
            </w:r>
          </w:p>
        </w:tc>
        <w:tc>
          <w:tcPr>
            <w:tcW w:w="993"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黄怡菲</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陈  漪</w:t>
            </w:r>
          </w:p>
        </w:tc>
      </w:tr>
      <w:tr>
        <w:tblPrEx>
          <w:tblCellMar>
            <w:top w:w="0" w:type="dxa"/>
            <w:left w:w="108" w:type="dxa"/>
            <w:bottom w:w="0" w:type="dxa"/>
            <w:right w:w="108" w:type="dxa"/>
          </w:tblCellMar>
        </w:tblPrEx>
        <w:trPr>
          <w:trHeight w:val="737"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14:45-15:00</w:t>
            </w:r>
          </w:p>
        </w:tc>
        <w:tc>
          <w:tcPr>
            <w:tcW w:w="43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妇产专业临床药师参与70例次药学会诊及典型案例分析</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沐  宇</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徐州市妇幼保健院</w:t>
            </w:r>
          </w:p>
        </w:tc>
        <w:tc>
          <w:tcPr>
            <w:tcW w:w="993"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15:00-15:15</w:t>
            </w:r>
          </w:p>
        </w:tc>
        <w:tc>
          <w:tcPr>
            <w:tcW w:w="864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3600" w:firstLineChars="15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休 </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息</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15:15-15:30</w:t>
            </w:r>
          </w:p>
        </w:tc>
        <w:tc>
          <w:tcPr>
            <w:tcW w:w="43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人类Schlafen 5促进卵巢癌中可逆的上皮和间质转化</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徐巧萍</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浙江大学医学院附属杭州市第一人民医院</w:t>
            </w:r>
          </w:p>
        </w:tc>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石祥奎</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周  萍</w:t>
            </w:r>
          </w:p>
        </w:tc>
      </w:tr>
      <w:tr>
        <w:tblPrEx>
          <w:tblCellMar>
            <w:top w:w="0" w:type="dxa"/>
            <w:left w:w="108" w:type="dxa"/>
            <w:bottom w:w="0" w:type="dxa"/>
            <w:right w:w="108" w:type="dxa"/>
          </w:tblCellMar>
        </w:tblPrEx>
        <w:trPr>
          <w:trHeight w:val="891"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15:30-15:45</w:t>
            </w:r>
          </w:p>
        </w:tc>
        <w:tc>
          <w:tcPr>
            <w:tcW w:w="43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2016-2020年中国生殖辅助患者的现实世界药物治疗模式：一项横断面分析</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金  经</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复旦大学附属</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妇产科医院</w:t>
            </w:r>
          </w:p>
        </w:tc>
        <w:tc>
          <w:tcPr>
            <w:tcW w:w="99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975"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15:45-16:00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曲妥珠单抗致乳腺癌患者心脏不良事件发生情况及危险因素研究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王春晖</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复旦大学附属</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中山医院</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张  川</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方国英</w:t>
            </w:r>
          </w:p>
        </w:tc>
      </w:tr>
      <w:tr>
        <w:tblPrEx>
          <w:tblCellMar>
            <w:top w:w="0" w:type="dxa"/>
            <w:left w:w="108" w:type="dxa"/>
            <w:bottom w:w="0" w:type="dxa"/>
            <w:right w:w="108" w:type="dxa"/>
          </w:tblCellMar>
        </w:tblPrEx>
        <w:trPr>
          <w:trHeight w:val="846"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16:00-16:15</w:t>
            </w:r>
          </w:p>
        </w:tc>
        <w:tc>
          <w:tcPr>
            <w:tcW w:w="43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黄芪颗粒联合胰岛素治疗妊娠期糖尿病疗效与安全的Meta分析</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黄柳绿</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上海市第六人民</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医院临港院区</w:t>
            </w: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844"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16:15-16:30</w:t>
            </w:r>
          </w:p>
        </w:tc>
        <w:tc>
          <w:tcPr>
            <w:tcW w:w="43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基于合理用药系统对妇产科医院门诊处方前置审核的实践与讨论</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钱  莺</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浙江大学医学院</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附属妇产科医院</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马小磊</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王  然</w:t>
            </w:r>
          </w:p>
        </w:tc>
      </w:tr>
      <w:tr>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16:30-16:45</w:t>
            </w:r>
          </w:p>
        </w:tc>
        <w:tc>
          <w:tcPr>
            <w:tcW w:w="43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临床药师参与2例妇产科粪肠球菌感染治疗的实践与体会</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王科冉</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首都医科大学附属北京妇产医院</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内蒙古自治区人民医院</w:t>
            </w: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p>
        </w:tc>
      </w:tr>
      <w:tr>
        <w:tblPrEx>
          <w:tblCellMar>
            <w:top w:w="0" w:type="dxa"/>
            <w:left w:w="108" w:type="dxa"/>
            <w:bottom w:w="0" w:type="dxa"/>
            <w:right w:w="108" w:type="dxa"/>
          </w:tblCellMar>
        </w:tblPrEx>
        <w:trPr>
          <w:trHeight w:val="72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16:45-17:00</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大会总结</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冯  欣</w:t>
            </w:r>
          </w:p>
        </w:tc>
        <w:tc>
          <w:tcPr>
            <w:tcW w:w="326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首都医科大学附属</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妇产科医院</w:t>
            </w:r>
          </w:p>
        </w:tc>
      </w:tr>
    </w:tbl>
    <w:p>
      <w:pPr>
        <w:spacing w:line="268" w:lineRule="auto"/>
        <w:jc w:val="both"/>
        <w:rPr>
          <w:rFonts w:ascii="Times New Roman" w:hAnsi="Times New Roman" w:cs="Times New Roman"/>
        </w:rPr>
      </w:pPr>
    </w:p>
    <w:p>
      <w:pPr>
        <w:kinsoku/>
        <w:autoSpaceDE/>
        <w:autoSpaceDN/>
        <w:adjustRightInd/>
        <w:snapToGrid/>
        <w:textAlignment w:val="auto"/>
        <w:rPr>
          <w:rFonts w:ascii="Times New Roman" w:hAnsi="Times New Roman" w:cs="Times New Roman"/>
        </w:rPr>
      </w:pPr>
      <w:bookmarkStart w:id="0" w:name="_GoBack"/>
      <w:bookmarkEnd w:id="0"/>
    </w:p>
    <w:sectPr>
      <w:footerReference r:id="rId3" w:type="default"/>
      <w:pgSz w:w="11910" w:h="16840"/>
      <w:pgMar w:top="1985" w:right="1474" w:bottom="1814" w:left="1531" w:header="0" w:footer="90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36589"/>
      <w:docPartObj>
        <w:docPartGallery w:val="AutoText"/>
      </w:docPartObj>
    </w:sdtPr>
    <w:sdtContent>
      <w:p>
        <w:pPr>
          <w:pStyle w:val="2"/>
          <w:jc w:val="cente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w:t>
        </w:r>
        <w:r>
          <w:rPr>
            <w:rFonts w:ascii="Times New Roman" w:hAnsi="Times New Roman" w:cs="Times New Roman"/>
            <w:sz w:val="22"/>
            <w:szCs w:val="22"/>
          </w:rPr>
          <w:fldChar w:fldCharType="end"/>
        </w:r>
      </w:p>
    </w:sdtContent>
  </w:sdt>
  <w:p>
    <w:pPr>
      <w:spacing w:line="184" w:lineRule="auto"/>
      <w:ind w:left="5165"/>
      <w:rPr>
        <w:rFonts w:ascii="宋体" w:hAnsi="宋体" w:eastAsia="宋体" w:cs="宋体"/>
        <w:sz w:val="23"/>
        <w:szCs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xMTliN2I5YmNlNzE0YmMzMzVmNTA3YjdlYThlNTEifQ=="/>
  </w:docVars>
  <w:rsids>
    <w:rsidRoot w:val="006C68FB"/>
    <w:rsid w:val="00052BCD"/>
    <w:rsid w:val="00062F19"/>
    <w:rsid w:val="000C3031"/>
    <w:rsid w:val="00135FB0"/>
    <w:rsid w:val="001A3AAF"/>
    <w:rsid w:val="00217DF2"/>
    <w:rsid w:val="00236078"/>
    <w:rsid w:val="00377E64"/>
    <w:rsid w:val="003A2881"/>
    <w:rsid w:val="003B631B"/>
    <w:rsid w:val="003D7002"/>
    <w:rsid w:val="003E2433"/>
    <w:rsid w:val="004D18F8"/>
    <w:rsid w:val="004D678D"/>
    <w:rsid w:val="00513F9E"/>
    <w:rsid w:val="00566B41"/>
    <w:rsid w:val="00583EAF"/>
    <w:rsid w:val="005D063E"/>
    <w:rsid w:val="005D4123"/>
    <w:rsid w:val="00641667"/>
    <w:rsid w:val="006C68FB"/>
    <w:rsid w:val="00772B40"/>
    <w:rsid w:val="007950E1"/>
    <w:rsid w:val="00867203"/>
    <w:rsid w:val="008756E1"/>
    <w:rsid w:val="00876EA1"/>
    <w:rsid w:val="00952254"/>
    <w:rsid w:val="009575FD"/>
    <w:rsid w:val="00AB6266"/>
    <w:rsid w:val="00AD2320"/>
    <w:rsid w:val="00B808D6"/>
    <w:rsid w:val="00BB3CBD"/>
    <w:rsid w:val="00BC63DA"/>
    <w:rsid w:val="00CC4A07"/>
    <w:rsid w:val="00D2661F"/>
    <w:rsid w:val="00D559AB"/>
    <w:rsid w:val="00DD7630"/>
    <w:rsid w:val="00ED142B"/>
    <w:rsid w:val="00EF51FE"/>
    <w:rsid w:val="00F12E16"/>
    <w:rsid w:val="00F20583"/>
    <w:rsid w:val="00F84E59"/>
    <w:rsid w:val="00F90917"/>
    <w:rsid w:val="106F1A1C"/>
    <w:rsid w:val="152B36E3"/>
    <w:rsid w:val="20D70B7D"/>
    <w:rsid w:val="265C796A"/>
    <w:rsid w:val="3F0C0FE2"/>
    <w:rsid w:val="47154F84"/>
    <w:rsid w:val="49AF07CE"/>
    <w:rsid w:val="56E36785"/>
    <w:rsid w:val="63EB0A27"/>
    <w:rsid w:val="6886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pPr>
    <w:rPr>
      <w:sz w:val="18"/>
      <w:szCs w:val="18"/>
    </w:rPr>
  </w:style>
  <w:style w:type="paragraph" w:styleId="3">
    <w:name w:val="header"/>
    <w:basedOn w:val="1"/>
    <w:link w:val="7"/>
    <w:uiPriority w:val="0"/>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字符"/>
    <w:basedOn w:val="5"/>
    <w:link w:val="3"/>
    <w:qFormat/>
    <w:uiPriority w:val="0"/>
    <w:rPr>
      <w:rFonts w:eastAsia="Arial"/>
      <w:snapToGrid w:val="0"/>
      <w:color w:val="000000"/>
      <w:sz w:val="18"/>
      <w:szCs w:val="18"/>
    </w:rPr>
  </w:style>
  <w:style w:type="character" w:customStyle="1" w:styleId="8">
    <w:name w:val="页脚 字符"/>
    <w:basedOn w:val="5"/>
    <w:link w:val="2"/>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2182</Words>
  <Characters>2740</Characters>
  <Lines>23</Lines>
  <Paragraphs>6</Paragraphs>
  <TotalTime>23</TotalTime>
  <ScaleCrop>false</ScaleCrop>
  <LinksUpToDate>false</LinksUpToDate>
  <CharactersWithSpaces>2922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2022-10-25T08:23:00Z</dcterms:created>
  <dc:creator>Kingsoft-PDF</dc:creator>
  <cp:keywords>63369e3af2617b00152c7897</cp:keywords>
  <cp:lastModifiedBy>GHY</cp:lastModifiedBy>
  <cp:lastPrinted>2022-10-31T06:53:00Z</cp:lastPrinted>
  <dcterms:modified xsi:type="dcterms:W3CDTF">2022-10-31T07:51:57Z</dcterms:modified>
  <dc:subject>pdfbuilder</dc:subject>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2022-09-30T15:44:09Z</vt:filetime>
  </property>
  <property fmtid="{D5CDD505-2E9C-101B-9397-08002B2CF9AE}" pid="4" name="KSOProductBuildVer">
    <vt:lpwstr>2052-11.1.0.12598</vt:lpwstr>
  </property>
  <property fmtid="{D5CDD505-2E9C-101B-9397-08002B2CF9AE}" pid="5" name="ICV">
    <vt:lpwstr>B228CB6018484DA5BADC92FE3F675A6B</vt:lpwstr>
  </property>
  <property fmtid="{D5CDD505-2E9C-101B-9397-08002B2CF9AE}" pid="6" name="GrammarlyDocumentId">
    <vt:lpwstr>cff644b99a325c1de2bb7863217425384affbdf7d0b99b41709fefafad7a3406</vt:lpwstr>
  </property>
</Properties>
</file>