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687" w:rightChars="-327"/>
        <w:jc w:val="left"/>
        <w:rPr>
          <w:rFonts w:ascii="黑体" w:hAnsi="黑体" w:eastAsia="黑体" w:cs="宋体"/>
          <w:bCs/>
          <w:kern w:val="0"/>
          <w:sz w:val="32"/>
          <w:szCs w:val="30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kern w:val="0"/>
          <w:sz w:val="32"/>
          <w:szCs w:val="30"/>
        </w:rPr>
        <w:t>附件：</w:t>
      </w:r>
    </w:p>
    <w:p>
      <w:pPr>
        <w:tabs>
          <w:tab w:val="left" w:pos="9240"/>
        </w:tabs>
        <w:adjustRightInd w:val="0"/>
        <w:snapToGrid w:val="0"/>
        <w:jc w:val="center"/>
        <w:rPr>
          <w:rFonts w:hint="eastAsia" w:ascii="方正小标宋简体" w:hAnsi="仿宋" w:eastAsia="方正小标宋简体" w:cs="仿宋"/>
          <w:bCs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2022年中国药学会药物流行病学专业委员会学术年会</w:t>
      </w:r>
      <w:r>
        <w:rPr>
          <w:rFonts w:hint="eastAsia" w:ascii="方正小标宋简体" w:hAnsi="仿宋" w:eastAsia="方正小标宋简体" w:cs="仿宋"/>
          <w:bCs/>
          <w:sz w:val="44"/>
          <w:szCs w:val="44"/>
        </w:rPr>
        <w:t>会议日程</w:t>
      </w:r>
    </w:p>
    <w:tbl>
      <w:tblPr>
        <w:tblStyle w:val="7"/>
        <w:tblW w:w="9060" w:type="dxa"/>
        <w:tblInd w:w="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9"/>
        <w:gridCol w:w="2930"/>
        <w:gridCol w:w="1456"/>
        <w:gridCol w:w="1851"/>
        <w:gridCol w:w="12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07" w:hRule="atLeast"/>
        </w:trPr>
        <w:tc>
          <w:tcPr>
            <w:tcW w:w="9060" w:type="dxa"/>
            <w:gridSpan w:val="5"/>
            <w:noWrap w:val="0"/>
            <w:vAlign w:val="center"/>
          </w:tcPr>
          <w:p>
            <w:pPr>
              <w:pStyle w:val="26"/>
              <w:tabs>
                <w:tab w:val="left" w:pos="2261"/>
              </w:tabs>
              <w:spacing w:before="21" w:line="360" w:lineRule="auto"/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2022年11月12日上午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07" w:hRule="atLeast"/>
        </w:trPr>
        <w:tc>
          <w:tcPr>
            <w:tcW w:w="9060" w:type="dxa"/>
            <w:gridSpan w:val="5"/>
            <w:noWrap w:val="0"/>
            <w:vAlign w:val="center"/>
          </w:tcPr>
          <w:p>
            <w:pPr>
              <w:pStyle w:val="26"/>
              <w:tabs>
                <w:tab w:val="left" w:pos="2261"/>
              </w:tabs>
              <w:spacing w:before="21" w:line="360" w:lineRule="auto"/>
              <w:ind w:left="0"/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主会场（线上+线下）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08" w:hRule="atLeast"/>
        </w:trPr>
        <w:tc>
          <w:tcPr>
            <w:tcW w:w="1559" w:type="dxa"/>
            <w:noWrap w:val="0"/>
            <w:vAlign w:val="top"/>
          </w:tcPr>
          <w:p>
            <w:pPr>
              <w:pStyle w:val="26"/>
              <w:spacing w:before="21" w:line="360" w:lineRule="auto"/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时  间</w:t>
            </w:r>
          </w:p>
        </w:tc>
        <w:tc>
          <w:tcPr>
            <w:tcW w:w="2930" w:type="dxa"/>
            <w:noWrap w:val="0"/>
            <w:vAlign w:val="top"/>
          </w:tcPr>
          <w:p>
            <w:pPr>
              <w:pStyle w:val="26"/>
              <w:spacing w:before="21" w:line="360" w:lineRule="auto"/>
              <w:ind w:left="108"/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 xml:space="preserve"> 内  容</w:t>
            </w:r>
          </w:p>
        </w:tc>
        <w:tc>
          <w:tcPr>
            <w:tcW w:w="1456" w:type="dxa"/>
            <w:noWrap w:val="0"/>
            <w:vAlign w:val="top"/>
          </w:tcPr>
          <w:p>
            <w:pPr>
              <w:pStyle w:val="26"/>
              <w:spacing w:before="21" w:line="360" w:lineRule="auto"/>
              <w:ind w:left="107"/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讲  者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pStyle w:val="26"/>
              <w:spacing w:before="21" w:line="360" w:lineRule="auto"/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单  位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pStyle w:val="26"/>
              <w:spacing w:before="21" w:line="360" w:lineRule="auto"/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主持人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24" w:hRule="exact"/>
        </w:trPr>
        <w:tc>
          <w:tcPr>
            <w:tcW w:w="1559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8:30-8:40</w:t>
            </w:r>
          </w:p>
        </w:tc>
        <w:tc>
          <w:tcPr>
            <w:tcW w:w="2930" w:type="dxa"/>
            <w:vMerge w:val="restart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开幕式：领导致辞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詹思延</w:t>
            </w:r>
          </w:p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  授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北京大学</w:t>
            </w:r>
          </w:p>
        </w:tc>
        <w:tc>
          <w:tcPr>
            <w:tcW w:w="1264" w:type="dxa"/>
            <w:vMerge w:val="restart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徐惠琴</w:t>
            </w:r>
          </w:p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主任医师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24" w:hRule="atLeast"/>
        </w:trPr>
        <w:tc>
          <w:tcPr>
            <w:tcW w:w="1559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8:40-8:50</w:t>
            </w:r>
          </w:p>
        </w:tc>
        <w:tc>
          <w:tcPr>
            <w:tcW w:w="2930" w:type="dxa"/>
            <w:vMerge w:val="continue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沈  贤</w:t>
            </w:r>
          </w:p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  授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温州医科大学</w:t>
            </w:r>
          </w:p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附属第一医院</w:t>
            </w:r>
          </w:p>
        </w:tc>
        <w:tc>
          <w:tcPr>
            <w:tcW w:w="1264" w:type="dxa"/>
            <w:vMerge w:val="continue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24" w:hRule="atLeast"/>
        </w:trPr>
        <w:tc>
          <w:tcPr>
            <w:tcW w:w="1559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8:50-9:00</w:t>
            </w:r>
          </w:p>
        </w:tc>
        <w:tc>
          <w:tcPr>
            <w:tcW w:w="2930" w:type="dxa"/>
            <w:vMerge w:val="continue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张秀华</w:t>
            </w:r>
          </w:p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主任药师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温州市药学会</w:t>
            </w:r>
          </w:p>
        </w:tc>
        <w:tc>
          <w:tcPr>
            <w:tcW w:w="1264" w:type="dxa"/>
            <w:vMerge w:val="continue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24" w:hRule="atLeast"/>
        </w:trPr>
        <w:tc>
          <w:tcPr>
            <w:tcW w:w="1559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9:00-9:10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追梦药物流行病学研究方法进展，引领脑部疾病临床研究，解开前沿难题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郑荣远</w:t>
            </w:r>
          </w:p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  授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温州医科大学</w:t>
            </w:r>
          </w:p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附属第一医院</w:t>
            </w:r>
          </w:p>
        </w:tc>
        <w:tc>
          <w:tcPr>
            <w:tcW w:w="1264" w:type="dxa"/>
            <w:vMerge w:val="continue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24" w:hRule="atLeast"/>
        </w:trPr>
        <w:tc>
          <w:tcPr>
            <w:tcW w:w="1559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9:10-9:40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2021年药品不良反应</w:t>
            </w:r>
          </w:p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监测工作进展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沈传勇</w:t>
            </w:r>
          </w:p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  任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国家药品不良反应监测中心</w:t>
            </w:r>
          </w:p>
        </w:tc>
        <w:tc>
          <w:tcPr>
            <w:tcW w:w="1264" w:type="dxa"/>
            <w:vMerge w:val="restart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文爱东</w:t>
            </w:r>
          </w:p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教  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24" w:hRule="atLeast"/>
        </w:trPr>
        <w:tc>
          <w:tcPr>
            <w:tcW w:w="1559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9:40-10:10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循证药学现状与发展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张伶俐</w:t>
            </w:r>
          </w:p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教  授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四川大学</w:t>
            </w:r>
          </w:p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华西第二医院</w:t>
            </w:r>
          </w:p>
        </w:tc>
        <w:tc>
          <w:tcPr>
            <w:tcW w:w="1264" w:type="dxa"/>
            <w:vMerge w:val="continue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24" w:hRule="atLeast"/>
        </w:trPr>
        <w:tc>
          <w:tcPr>
            <w:tcW w:w="1559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10:10-10:</w:t>
            </w:r>
            <w:r>
              <w:rPr>
                <w:rFonts w:ascii="仿宋" w:hAnsi="仿宋" w:eastAsia="仿宋" w:cs="仿宋"/>
                <w:sz w:val="24"/>
              </w:rPr>
              <w:t>4</w:t>
            </w:r>
            <w:r>
              <w:rPr>
                <w:rFonts w:hint="eastAsia" w:ascii="仿宋" w:hAnsi="仿宋" w:eastAsia="仿宋" w:cs="仿宋"/>
                <w:sz w:val="24"/>
              </w:rPr>
              <w:t>0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药物流行病学研究的</w:t>
            </w:r>
          </w:p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方法学进展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詹思延</w:t>
            </w:r>
          </w:p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  授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北京大学</w:t>
            </w:r>
          </w:p>
        </w:tc>
        <w:tc>
          <w:tcPr>
            <w:tcW w:w="1264" w:type="dxa"/>
            <w:vMerge w:val="restart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郑荣远</w:t>
            </w:r>
          </w:p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  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24" w:hRule="atLeast"/>
        </w:trPr>
        <w:tc>
          <w:tcPr>
            <w:tcW w:w="1559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10:</w:t>
            </w:r>
            <w:r>
              <w:rPr>
                <w:rFonts w:ascii="仿宋" w:hAnsi="仿宋" w:eastAsia="仿宋" w:cs="仿宋"/>
                <w:sz w:val="24"/>
              </w:rPr>
              <w:t>4</w:t>
            </w:r>
            <w:r>
              <w:rPr>
                <w:rFonts w:hint="eastAsia" w:ascii="仿宋" w:hAnsi="仿宋" w:eastAsia="仿宋" w:cs="仿宋"/>
                <w:sz w:val="24"/>
              </w:rPr>
              <w:t>0-11:10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抗癫痫药物不良反应</w:t>
            </w:r>
          </w:p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研究进展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周  东</w:t>
            </w:r>
          </w:p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  授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四川大学</w:t>
            </w:r>
          </w:p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华西医院</w:t>
            </w:r>
          </w:p>
        </w:tc>
        <w:tc>
          <w:tcPr>
            <w:tcW w:w="1264" w:type="dxa"/>
            <w:vMerge w:val="continue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24" w:hRule="atLeast"/>
        </w:trPr>
        <w:tc>
          <w:tcPr>
            <w:tcW w:w="1559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11:10-11:40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真实世界研究在眼科的</w:t>
            </w:r>
          </w:p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实践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梁远波</w:t>
            </w:r>
          </w:p>
          <w:p>
            <w:pPr>
              <w:pStyle w:val="26"/>
              <w:adjustRightInd w:val="0"/>
              <w:snapToGrid w:val="0"/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  授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温州医科大学</w:t>
            </w:r>
          </w:p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眼视光医院</w:t>
            </w:r>
          </w:p>
        </w:tc>
        <w:tc>
          <w:tcPr>
            <w:tcW w:w="1264" w:type="dxa"/>
            <w:vMerge w:val="restart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吴东方</w:t>
            </w:r>
          </w:p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  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24" w:hRule="atLeast"/>
        </w:trPr>
        <w:tc>
          <w:tcPr>
            <w:tcW w:w="1559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11:40-12:00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卫材卫星会-从AMPA受体类药物的研发谈起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徐惠琴</w:t>
            </w:r>
          </w:p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主任医师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温州医科大学</w:t>
            </w:r>
          </w:p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附属第一医院</w:t>
            </w:r>
          </w:p>
        </w:tc>
        <w:tc>
          <w:tcPr>
            <w:tcW w:w="1264" w:type="dxa"/>
            <w:vMerge w:val="continue"/>
            <w:noWrap w:val="0"/>
            <w:vAlign w:val="top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adjustRightInd w:val="0"/>
        <w:snapToGrid w:val="0"/>
        <w:rPr>
          <w:rFonts w:ascii="仿宋" w:hAnsi="仿宋" w:eastAsia="仿宋" w:cs="仿宋"/>
          <w:sz w:val="24"/>
        </w:rPr>
      </w:pPr>
    </w:p>
    <w:tbl>
      <w:tblPr>
        <w:tblStyle w:val="7"/>
        <w:tblW w:w="9060" w:type="dxa"/>
        <w:tblInd w:w="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1"/>
        <w:gridCol w:w="3018"/>
        <w:gridCol w:w="1456"/>
        <w:gridCol w:w="1851"/>
        <w:gridCol w:w="12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9060" w:type="dxa"/>
            <w:gridSpan w:val="5"/>
            <w:noWrap w:val="0"/>
            <w:vAlign w:val="center"/>
          </w:tcPr>
          <w:p>
            <w:pPr>
              <w:pStyle w:val="26"/>
              <w:tabs>
                <w:tab w:val="left" w:pos="2261"/>
              </w:tabs>
              <w:spacing w:before="21"/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2022年11月12日下午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9060" w:type="dxa"/>
            <w:gridSpan w:val="5"/>
            <w:noWrap w:val="0"/>
            <w:vAlign w:val="center"/>
          </w:tcPr>
          <w:p>
            <w:pPr>
              <w:pStyle w:val="26"/>
              <w:tabs>
                <w:tab w:val="left" w:pos="2261"/>
              </w:tabs>
              <w:spacing w:before="21"/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分会场一 临床研究高质量发展论坛（线上）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471" w:type="dxa"/>
            <w:noWrap w:val="0"/>
            <w:vAlign w:val="center"/>
          </w:tcPr>
          <w:p>
            <w:pPr>
              <w:pStyle w:val="26"/>
              <w:spacing w:before="21"/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时  间</w:t>
            </w:r>
          </w:p>
        </w:tc>
        <w:tc>
          <w:tcPr>
            <w:tcW w:w="3018" w:type="dxa"/>
            <w:noWrap w:val="0"/>
            <w:vAlign w:val="center"/>
          </w:tcPr>
          <w:p>
            <w:pPr>
              <w:pStyle w:val="26"/>
              <w:spacing w:before="21"/>
              <w:ind w:left="108"/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内  容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pStyle w:val="26"/>
              <w:spacing w:before="21"/>
              <w:ind w:left="107"/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讲  者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pStyle w:val="26"/>
              <w:spacing w:before="21"/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单  位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pStyle w:val="26"/>
              <w:spacing w:before="21"/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主持人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71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13:30-14:05</w:t>
            </w:r>
          </w:p>
        </w:tc>
        <w:tc>
          <w:tcPr>
            <w:tcW w:w="3018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湖北省医院药师药品不良反应知识，态度和实践调查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程  虹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主任药师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武汉大学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中南医院</w:t>
            </w:r>
          </w:p>
        </w:tc>
        <w:tc>
          <w:tcPr>
            <w:tcW w:w="1264" w:type="dxa"/>
            <w:vMerge w:val="restart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刘  东</w:t>
            </w:r>
          </w:p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主任药师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71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14:05-14:40</w:t>
            </w:r>
          </w:p>
        </w:tc>
        <w:tc>
          <w:tcPr>
            <w:tcW w:w="3018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从科研到临床，让精准用药</w:t>
            </w:r>
          </w:p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行之有效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师少军</w:t>
            </w:r>
          </w:p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主任药师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华中科技大学</w:t>
            </w:r>
          </w:p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协和江南医院</w:t>
            </w:r>
          </w:p>
        </w:tc>
        <w:tc>
          <w:tcPr>
            <w:tcW w:w="1264" w:type="dxa"/>
            <w:vMerge w:val="continue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71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14:40-15:15</w:t>
            </w:r>
          </w:p>
        </w:tc>
        <w:tc>
          <w:tcPr>
            <w:tcW w:w="3018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基于FAERS数据库的药品不良反应系列信号发掘研究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邱晓燕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主任药师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复旦大学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附属华山医院</w:t>
            </w:r>
          </w:p>
        </w:tc>
        <w:tc>
          <w:tcPr>
            <w:tcW w:w="1264" w:type="dxa"/>
            <w:vMerge w:val="restart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徐剑铖</w:t>
            </w:r>
          </w:p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  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71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15:15-15:50</w:t>
            </w:r>
          </w:p>
        </w:tc>
        <w:tc>
          <w:tcPr>
            <w:tcW w:w="3018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原研药与仿制药的区别：关注抗癫痫药物质量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张秀华</w:t>
            </w:r>
          </w:p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主任药师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温州医科大学</w:t>
            </w:r>
          </w:p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附属第一医院</w:t>
            </w:r>
          </w:p>
        </w:tc>
        <w:tc>
          <w:tcPr>
            <w:tcW w:w="1264" w:type="dxa"/>
            <w:vMerge w:val="continue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71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15:50-16:25</w:t>
            </w:r>
          </w:p>
        </w:tc>
        <w:tc>
          <w:tcPr>
            <w:tcW w:w="3018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联合试验和融合试验在儿科临床研究中的应用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赵立波</w:t>
            </w:r>
          </w:p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主任药师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北京大学</w:t>
            </w:r>
          </w:p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第三医院</w:t>
            </w:r>
          </w:p>
        </w:tc>
        <w:tc>
          <w:tcPr>
            <w:tcW w:w="1264" w:type="dxa"/>
            <w:vMerge w:val="restart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杨新军</w:t>
            </w:r>
          </w:p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  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71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16:25-17:00</w:t>
            </w:r>
          </w:p>
        </w:tc>
        <w:tc>
          <w:tcPr>
            <w:tcW w:w="3018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医药融合IIT研究，助力医院学科建设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林能明</w:t>
            </w:r>
          </w:p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教 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授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浙江大学医学院</w:t>
            </w:r>
          </w:p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附属杭州市第一人民医院</w:t>
            </w:r>
          </w:p>
        </w:tc>
        <w:tc>
          <w:tcPr>
            <w:tcW w:w="1264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adjustRightInd w:val="0"/>
        <w:snapToGrid w:val="0"/>
        <w:rPr>
          <w:rFonts w:ascii="仿宋" w:hAnsi="仿宋" w:eastAsia="仿宋" w:cs="仿宋"/>
          <w:sz w:val="24"/>
        </w:rPr>
      </w:pPr>
    </w:p>
    <w:tbl>
      <w:tblPr>
        <w:tblStyle w:val="7"/>
        <w:tblW w:w="9060" w:type="dxa"/>
        <w:tblInd w:w="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7"/>
        <w:gridCol w:w="3018"/>
        <w:gridCol w:w="1440"/>
        <w:gridCol w:w="1851"/>
        <w:gridCol w:w="12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9060" w:type="dxa"/>
            <w:gridSpan w:val="5"/>
            <w:noWrap w:val="0"/>
            <w:vAlign w:val="center"/>
          </w:tcPr>
          <w:p>
            <w:pPr>
              <w:pStyle w:val="26"/>
              <w:tabs>
                <w:tab w:val="left" w:pos="2261"/>
              </w:tabs>
              <w:spacing w:before="21"/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2022年11月12日下午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9060" w:type="dxa"/>
            <w:gridSpan w:val="5"/>
            <w:noWrap w:val="0"/>
            <w:vAlign w:val="center"/>
          </w:tcPr>
          <w:p>
            <w:pPr>
              <w:pStyle w:val="26"/>
              <w:tabs>
                <w:tab w:val="left" w:pos="2261"/>
              </w:tabs>
              <w:spacing w:before="21"/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分会场二 瓯越药物流行病学与合理用药论坛（线上+线下）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487" w:type="dxa"/>
            <w:noWrap w:val="0"/>
            <w:vAlign w:val="center"/>
          </w:tcPr>
          <w:p>
            <w:pPr>
              <w:pStyle w:val="26"/>
              <w:spacing w:before="21"/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时  间</w:t>
            </w:r>
          </w:p>
        </w:tc>
        <w:tc>
          <w:tcPr>
            <w:tcW w:w="3018" w:type="dxa"/>
            <w:noWrap w:val="0"/>
            <w:vAlign w:val="center"/>
          </w:tcPr>
          <w:p>
            <w:pPr>
              <w:pStyle w:val="26"/>
              <w:spacing w:before="21"/>
              <w:ind w:left="108"/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内  容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26"/>
              <w:spacing w:before="21"/>
              <w:ind w:left="107"/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讲  者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pStyle w:val="26"/>
              <w:spacing w:before="21"/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单  位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pStyle w:val="26"/>
              <w:spacing w:before="21"/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主持人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87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13:30-14:05</w:t>
            </w:r>
          </w:p>
        </w:tc>
        <w:tc>
          <w:tcPr>
            <w:tcW w:w="3018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药物流行病学研究常用统计学方法及应用规范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王  怡</w:t>
            </w:r>
          </w:p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副教授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温州医科大学</w:t>
            </w:r>
          </w:p>
        </w:tc>
        <w:tc>
          <w:tcPr>
            <w:tcW w:w="1264" w:type="dxa"/>
            <w:vMerge w:val="restart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张秀华</w:t>
            </w:r>
          </w:p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主任药师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87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14:05-14:40</w:t>
            </w:r>
          </w:p>
        </w:tc>
        <w:tc>
          <w:tcPr>
            <w:tcW w:w="3018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抗癫痫药物的创新基础</w:t>
            </w:r>
          </w:p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研究思考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汪  仪</w:t>
            </w:r>
          </w:p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研究员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浙江中医药大学</w:t>
            </w:r>
          </w:p>
        </w:tc>
        <w:tc>
          <w:tcPr>
            <w:tcW w:w="1264" w:type="dxa"/>
            <w:vMerge w:val="continue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87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14:40-15:15</w:t>
            </w:r>
          </w:p>
        </w:tc>
        <w:tc>
          <w:tcPr>
            <w:tcW w:w="3018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从药学角度解读雷沙吉兰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林观样</w:t>
            </w:r>
          </w:p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主任药师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温州医科大学</w:t>
            </w:r>
          </w:p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附属第一医院</w:t>
            </w:r>
          </w:p>
        </w:tc>
        <w:tc>
          <w:tcPr>
            <w:tcW w:w="1264" w:type="dxa"/>
            <w:vMerge w:val="restart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周子晔</w:t>
            </w:r>
          </w:p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副主任</w:t>
            </w:r>
          </w:p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药  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487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15:15-15:50</w:t>
            </w:r>
          </w:p>
        </w:tc>
        <w:tc>
          <w:tcPr>
            <w:tcW w:w="3018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新法规下药物警戒的理解和</w:t>
            </w:r>
          </w:p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思考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 w:firstLine="360" w:firstLineChars="1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谢循策</w:t>
            </w:r>
          </w:p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副主任药师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温州市药品不良反应监测中心</w:t>
            </w:r>
          </w:p>
        </w:tc>
        <w:tc>
          <w:tcPr>
            <w:tcW w:w="1264" w:type="dxa"/>
            <w:vMerge w:val="continue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87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15:50-16:25</w:t>
            </w:r>
          </w:p>
        </w:tc>
        <w:tc>
          <w:tcPr>
            <w:tcW w:w="3018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药物经济学基本原理与案例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董恒进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  授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浙江大学</w:t>
            </w:r>
          </w:p>
        </w:tc>
        <w:tc>
          <w:tcPr>
            <w:tcW w:w="1264" w:type="dxa"/>
            <w:vMerge w:val="restart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林观样</w:t>
            </w:r>
          </w:p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主任药师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87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16:25-17:00</w:t>
            </w:r>
          </w:p>
        </w:tc>
        <w:tc>
          <w:tcPr>
            <w:tcW w:w="3018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基于临床研究探讨抗癫痫</w:t>
            </w:r>
          </w:p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药物撤药策略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王新施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主任医师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温州医科大学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附属第一医院</w:t>
            </w:r>
          </w:p>
        </w:tc>
        <w:tc>
          <w:tcPr>
            <w:tcW w:w="1264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adjustRightInd w:val="0"/>
        <w:snapToGrid w:val="0"/>
        <w:rPr>
          <w:rFonts w:ascii="仿宋" w:hAnsi="仿宋" w:eastAsia="仿宋" w:cs="仿宋"/>
          <w:sz w:val="24"/>
        </w:rPr>
      </w:pPr>
    </w:p>
    <w:tbl>
      <w:tblPr>
        <w:tblStyle w:val="7"/>
        <w:tblW w:w="9060" w:type="dxa"/>
        <w:tblInd w:w="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2"/>
        <w:gridCol w:w="3017"/>
        <w:gridCol w:w="1456"/>
        <w:gridCol w:w="1851"/>
        <w:gridCol w:w="12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9060" w:type="dxa"/>
            <w:gridSpan w:val="5"/>
            <w:noWrap w:val="0"/>
            <w:vAlign w:val="center"/>
          </w:tcPr>
          <w:p>
            <w:pPr>
              <w:pStyle w:val="26"/>
              <w:tabs>
                <w:tab w:val="left" w:pos="2261"/>
              </w:tabs>
              <w:spacing w:before="21"/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2022年11月12日下午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9060" w:type="dxa"/>
            <w:gridSpan w:val="5"/>
            <w:noWrap w:val="0"/>
            <w:vAlign w:val="center"/>
          </w:tcPr>
          <w:p>
            <w:pPr>
              <w:pStyle w:val="26"/>
              <w:tabs>
                <w:tab w:val="left" w:pos="2261"/>
              </w:tabs>
              <w:spacing w:before="21"/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分会场三 药物流行病学方法学指南研讨与实例分享论坛（线上）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472" w:type="dxa"/>
            <w:noWrap w:val="0"/>
            <w:vAlign w:val="top"/>
          </w:tcPr>
          <w:p>
            <w:pPr>
              <w:pStyle w:val="26"/>
              <w:spacing w:before="21"/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时  间</w:t>
            </w:r>
          </w:p>
        </w:tc>
        <w:tc>
          <w:tcPr>
            <w:tcW w:w="3017" w:type="dxa"/>
            <w:noWrap w:val="0"/>
            <w:vAlign w:val="top"/>
          </w:tcPr>
          <w:p>
            <w:pPr>
              <w:pStyle w:val="26"/>
              <w:spacing w:before="21"/>
              <w:ind w:left="108"/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内  容</w:t>
            </w:r>
          </w:p>
        </w:tc>
        <w:tc>
          <w:tcPr>
            <w:tcW w:w="1456" w:type="dxa"/>
            <w:noWrap w:val="0"/>
            <w:vAlign w:val="top"/>
          </w:tcPr>
          <w:p>
            <w:pPr>
              <w:pStyle w:val="26"/>
              <w:spacing w:before="21"/>
              <w:ind w:left="107"/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讲  者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pStyle w:val="26"/>
              <w:spacing w:before="21"/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单  位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pStyle w:val="26"/>
              <w:spacing w:before="21"/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主持人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72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13:30-13:40</w:t>
            </w:r>
          </w:p>
        </w:tc>
        <w:tc>
          <w:tcPr>
            <w:tcW w:w="3017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致  辞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方世平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主任药师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武汉大学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中南医院</w:t>
            </w:r>
          </w:p>
        </w:tc>
        <w:tc>
          <w:tcPr>
            <w:tcW w:w="1264" w:type="dxa"/>
            <w:vMerge w:val="restart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吴嘉瑞</w:t>
            </w:r>
          </w:p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  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72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13:40-14:05</w:t>
            </w:r>
          </w:p>
        </w:tc>
        <w:tc>
          <w:tcPr>
            <w:tcW w:w="3017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药物流行病学与真实世界</w:t>
            </w:r>
          </w:p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证据的关系与最新进展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孙  凤</w:t>
            </w:r>
          </w:p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副教授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北京大学</w:t>
            </w:r>
          </w:p>
        </w:tc>
        <w:tc>
          <w:tcPr>
            <w:tcW w:w="1264" w:type="dxa"/>
            <w:vMerge w:val="continue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72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14:05-14:30</w:t>
            </w:r>
          </w:p>
        </w:tc>
        <w:tc>
          <w:tcPr>
            <w:tcW w:w="3017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药物流行病学研究设计进展与案例分享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程吟楚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助理研究员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北京大学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第三医院</w:t>
            </w:r>
          </w:p>
        </w:tc>
        <w:tc>
          <w:tcPr>
            <w:tcW w:w="1264" w:type="dxa"/>
            <w:vMerge w:val="continue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72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14:30-14:55</w:t>
            </w:r>
          </w:p>
        </w:tc>
        <w:tc>
          <w:tcPr>
            <w:tcW w:w="3017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药物流行病学研究的数据</w:t>
            </w:r>
          </w:p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来源、收集与治理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卓  琳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助理研究员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北京大学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第三医院</w:t>
            </w:r>
          </w:p>
        </w:tc>
        <w:tc>
          <w:tcPr>
            <w:tcW w:w="1264" w:type="dxa"/>
            <w:vMerge w:val="restart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王  怡</w:t>
            </w:r>
          </w:p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副教授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72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14:55-15:20</w:t>
            </w:r>
          </w:p>
        </w:tc>
        <w:tc>
          <w:tcPr>
            <w:tcW w:w="3017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药物流行病学研究的统计学</w:t>
            </w:r>
          </w:p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分析策略与案例分享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李海龙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助理研究员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四川大学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华西第二医院</w:t>
            </w:r>
          </w:p>
        </w:tc>
        <w:tc>
          <w:tcPr>
            <w:tcW w:w="1264" w:type="dxa"/>
            <w:vMerge w:val="continue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72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15:20-15:45</w:t>
            </w:r>
          </w:p>
        </w:tc>
        <w:tc>
          <w:tcPr>
            <w:tcW w:w="3017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药物流行病学研究中偏倚与混杂控制策略与案例分享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宫  建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副教授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沈阳药科大学</w:t>
            </w:r>
          </w:p>
        </w:tc>
        <w:tc>
          <w:tcPr>
            <w:tcW w:w="1264" w:type="dxa"/>
            <w:vMerge w:val="restart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张程亮</w:t>
            </w:r>
          </w:p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副教授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72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15:45-16:10</w:t>
            </w:r>
          </w:p>
        </w:tc>
        <w:tc>
          <w:tcPr>
            <w:tcW w:w="3017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药物流行病学研究的方案制定的方法学进展与方案分享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廖  星</w:t>
            </w:r>
          </w:p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研究员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中国中医科学院</w:t>
            </w:r>
          </w:p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中医临床基础医学研究所</w:t>
            </w:r>
          </w:p>
        </w:tc>
        <w:tc>
          <w:tcPr>
            <w:tcW w:w="1264" w:type="dxa"/>
            <w:vMerge w:val="continue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72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16:10-16:35</w:t>
            </w:r>
          </w:p>
        </w:tc>
        <w:tc>
          <w:tcPr>
            <w:tcW w:w="3017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证据生态系统中证据合成与转化研究方法进展与挑战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田金徽</w:t>
            </w:r>
          </w:p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教 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授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兰州大学</w:t>
            </w:r>
          </w:p>
        </w:tc>
        <w:tc>
          <w:tcPr>
            <w:tcW w:w="1264" w:type="dxa"/>
            <w:vMerge w:val="restart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唐少文</w:t>
            </w:r>
          </w:p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教 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72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16:35-17:00</w:t>
            </w:r>
          </w:p>
        </w:tc>
        <w:tc>
          <w:tcPr>
            <w:tcW w:w="3017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“假说导向偏倚”对临床研究结果的影响探析—基于匹配重组方法的针刺治疗抑郁症随机对照试验数据的二次分析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曹卉娟</w:t>
            </w:r>
          </w:p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副教授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北京中医药大学</w:t>
            </w:r>
          </w:p>
        </w:tc>
        <w:tc>
          <w:tcPr>
            <w:tcW w:w="126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72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17:00-17:25</w:t>
            </w:r>
          </w:p>
        </w:tc>
        <w:tc>
          <w:tcPr>
            <w:tcW w:w="3017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基于真实世界数据的他汀预防脑卒中后痴呆的队列研究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杨智荣</w:t>
            </w:r>
          </w:p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助理教授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中国科学院</w:t>
            </w:r>
          </w:p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深圳理工大学</w:t>
            </w:r>
          </w:p>
        </w:tc>
        <w:tc>
          <w:tcPr>
            <w:tcW w:w="126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吴  婷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博  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72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17:25-17：50</w:t>
            </w:r>
          </w:p>
        </w:tc>
        <w:tc>
          <w:tcPr>
            <w:tcW w:w="3017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药物流行病学研究中</w:t>
            </w:r>
          </w:p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有关伦理问题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余爱荣</w:t>
            </w:r>
          </w:p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副主任药师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解放军中部战区</w:t>
            </w:r>
          </w:p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总医院</w:t>
            </w:r>
          </w:p>
        </w:tc>
        <w:tc>
          <w:tcPr>
            <w:tcW w:w="1264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72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17:</w:t>
            </w:r>
            <w:r>
              <w:rPr>
                <w:rFonts w:ascii="仿宋" w:hAnsi="仿宋" w:eastAsia="仿宋" w:cs="仿宋"/>
                <w:sz w:val="24"/>
              </w:rPr>
              <w:t>50</w:t>
            </w:r>
            <w:r>
              <w:rPr>
                <w:rFonts w:hint="eastAsia" w:ascii="仿宋" w:hAnsi="仿宋" w:eastAsia="仿宋" w:cs="仿宋"/>
                <w:sz w:val="24"/>
              </w:rPr>
              <w:t>-1</w:t>
            </w:r>
            <w:r>
              <w:rPr>
                <w:rFonts w:ascii="仿宋" w:hAnsi="仿宋" w:eastAsia="仿宋" w:cs="仿宋"/>
                <w:sz w:val="24"/>
              </w:rPr>
              <w:t>8</w:t>
            </w:r>
            <w:r>
              <w:rPr>
                <w:rFonts w:hint="eastAsia" w:ascii="仿宋" w:hAnsi="仿宋" w:eastAsia="仿宋" w:cs="仿宋"/>
                <w:sz w:val="24"/>
              </w:rPr>
              <w:t>:</w:t>
            </w:r>
            <w:r>
              <w:rPr>
                <w:rFonts w:ascii="仿宋" w:hAnsi="仿宋" w:eastAsia="仿宋" w:cs="仿宋"/>
                <w:sz w:val="24"/>
              </w:rPr>
              <w:t>00</w:t>
            </w:r>
          </w:p>
        </w:tc>
        <w:tc>
          <w:tcPr>
            <w:tcW w:w="3017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  结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孙  凤</w:t>
            </w:r>
          </w:p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副教授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北京大学</w:t>
            </w:r>
          </w:p>
        </w:tc>
        <w:tc>
          <w:tcPr>
            <w:tcW w:w="1264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adjustRightInd w:val="0"/>
        <w:snapToGrid w:val="0"/>
        <w:rPr>
          <w:rFonts w:ascii="仿宋" w:hAnsi="仿宋" w:eastAsia="仿宋" w:cs="仿宋"/>
          <w:sz w:val="24"/>
        </w:rPr>
      </w:pPr>
    </w:p>
    <w:tbl>
      <w:tblPr>
        <w:tblStyle w:val="7"/>
        <w:tblW w:w="9060" w:type="dxa"/>
        <w:tblInd w:w="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2"/>
        <w:gridCol w:w="3000"/>
        <w:gridCol w:w="1473"/>
        <w:gridCol w:w="1851"/>
        <w:gridCol w:w="12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9060" w:type="dxa"/>
            <w:gridSpan w:val="5"/>
            <w:noWrap w:val="0"/>
            <w:vAlign w:val="center"/>
          </w:tcPr>
          <w:p>
            <w:pPr>
              <w:pStyle w:val="26"/>
              <w:tabs>
                <w:tab w:val="left" w:pos="2261"/>
              </w:tabs>
              <w:spacing w:before="21"/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2022年11月12日晚上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9060" w:type="dxa"/>
            <w:gridSpan w:val="5"/>
            <w:noWrap w:val="0"/>
            <w:vAlign w:val="center"/>
          </w:tcPr>
          <w:p>
            <w:pPr>
              <w:pStyle w:val="26"/>
              <w:tabs>
                <w:tab w:val="left" w:pos="2261"/>
              </w:tabs>
              <w:spacing w:before="21"/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药物流行病学青年学者交流报告会（线上）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472" w:type="dxa"/>
            <w:noWrap w:val="0"/>
            <w:vAlign w:val="top"/>
          </w:tcPr>
          <w:p>
            <w:pPr>
              <w:pStyle w:val="26"/>
              <w:spacing w:before="21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 xml:space="preserve">时 </w:t>
            </w:r>
            <w:r>
              <w:rPr>
                <w:rFonts w:ascii="仿宋" w:hAnsi="仿宋" w:eastAsia="仿宋" w:cs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间</w:t>
            </w:r>
          </w:p>
        </w:tc>
        <w:tc>
          <w:tcPr>
            <w:tcW w:w="3000" w:type="dxa"/>
            <w:noWrap w:val="0"/>
            <w:vAlign w:val="top"/>
          </w:tcPr>
          <w:p>
            <w:pPr>
              <w:pStyle w:val="26"/>
              <w:spacing w:before="21"/>
              <w:ind w:left="108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内  容</w:t>
            </w:r>
          </w:p>
        </w:tc>
        <w:tc>
          <w:tcPr>
            <w:tcW w:w="1473" w:type="dxa"/>
            <w:noWrap w:val="0"/>
            <w:vAlign w:val="top"/>
          </w:tcPr>
          <w:p>
            <w:pPr>
              <w:pStyle w:val="26"/>
              <w:spacing w:before="21"/>
              <w:ind w:left="107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讲  者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pStyle w:val="26"/>
              <w:spacing w:before="21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单  位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pStyle w:val="26"/>
              <w:spacing w:before="21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主持人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4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19:00-19:10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致  辞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方世平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主任药师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武汉大学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中南医院</w:t>
            </w:r>
          </w:p>
        </w:tc>
        <w:tc>
          <w:tcPr>
            <w:tcW w:w="1264" w:type="dxa"/>
            <w:vMerge w:val="restart"/>
            <w:noWrap w:val="0"/>
            <w:vAlign w:val="top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方世平</w:t>
            </w:r>
          </w:p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主任药师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4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19:10</w:t>
            </w:r>
            <w:r>
              <w:rPr>
                <w:rFonts w:ascii="仿宋" w:hAnsi="仿宋" w:eastAsia="仿宋" w:cs="仿宋"/>
                <w:sz w:val="24"/>
              </w:rPr>
              <w:t>-</w:t>
            </w:r>
            <w:r>
              <w:rPr>
                <w:rFonts w:hint="eastAsia" w:ascii="仿宋" w:hAnsi="仿宋" w:eastAsia="仿宋" w:cs="仿宋"/>
                <w:sz w:val="24"/>
              </w:rPr>
              <w:t>19:20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关于冠心病合并2型糖尿病患者血糖控制及治疗惯性情况的横断面研究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张伟霞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上海交通大学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医学院附属瑞金医院</w:t>
            </w:r>
          </w:p>
        </w:tc>
        <w:tc>
          <w:tcPr>
            <w:tcW w:w="1264" w:type="dxa"/>
            <w:vMerge w:val="continue"/>
            <w:noWrap w:val="0"/>
            <w:vAlign w:val="top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4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</w:rPr>
              <w:t>9</w:t>
            </w:r>
            <w:r>
              <w:rPr>
                <w:rFonts w:ascii="仿宋" w:hAnsi="仿宋" w:eastAsia="仿宋" w:cs="仿宋"/>
                <w:sz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</w:rPr>
              <w:t>2</w:t>
            </w:r>
            <w:r>
              <w:rPr>
                <w:rFonts w:ascii="仿宋" w:hAnsi="仿宋" w:eastAsia="仿宋" w:cs="仿宋"/>
                <w:sz w:val="24"/>
              </w:rPr>
              <w:t>0-1</w:t>
            </w:r>
            <w:r>
              <w:rPr>
                <w:rFonts w:hint="eastAsia" w:ascii="仿宋" w:hAnsi="仿宋" w:eastAsia="仿宋" w:cs="仿宋"/>
                <w:sz w:val="24"/>
              </w:rPr>
              <w:t>9</w:t>
            </w:r>
            <w:r>
              <w:rPr>
                <w:rFonts w:ascii="仿宋" w:hAnsi="仿宋" w:eastAsia="仿宋" w:cs="仿宋"/>
                <w:sz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</w:rPr>
              <w:t>30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167546例住院患者的药源性心律失常自动监测评价及临床特征分析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郭海丽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中国人民</w:t>
            </w:r>
            <w:r>
              <w:rPr>
                <w:rFonts w:ascii="仿宋" w:hAnsi="仿宋" w:eastAsia="仿宋" w:cs="仿宋"/>
                <w:sz w:val="24"/>
              </w:rPr>
              <w:t>解放军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总医院</w:t>
            </w:r>
          </w:p>
        </w:tc>
        <w:tc>
          <w:tcPr>
            <w:tcW w:w="1264" w:type="dxa"/>
            <w:vMerge w:val="continue"/>
            <w:noWrap w:val="0"/>
            <w:vAlign w:val="top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4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19:30-19:40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他汀类药品安全性真实世界研究系统综述与meta分析的研究方案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于玥琳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北京大学</w:t>
            </w:r>
          </w:p>
        </w:tc>
        <w:tc>
          <w:tcPr>
            <w:tcW w:w="1264" w:type="dxa"/>
            <w:vMerge w:val="continue"/>
            <w:noWrap w:val="0"/>
            <w:vAlign w:val="top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4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19:40-19:50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真实世界免疫检查点抑制剂相关重症心肌炎流行病学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特点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王春晖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复旦大学附属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中山医院</w:t>
            </w:r>
          </w:p>
        </w:tc>
        <w:tc>
          <w:tcPr>
            <w:tcW w:w="1264" w:type="dxa"/>
            <w:vMerge w:val="continue"/>
            <w:noWrap w:val="0"/>
            <w:vAlign w:val="top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4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19</w:t>
            </w:r>
            <w:r>
              <w:rPr>
                <w:rFonts w:ascii="仿宋" w:hAnsi="仿宋" w:eastAsia="仿宋" w:cs="仿宋"/>
                <w:sz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</w:rPr>
              <w:t>5</w:t>
            </w:r>
            <w:r>
              <w:rPr>
                <w:rFonts w:ascii="仿宋" w:hAnsi="仿宋" w:eastAsia="仿宋" w:cs="仿宋"/>
                <w:sz w:val="24"/>
              </w:rPr>
              <w:t>0-</w:t>
            </w:r>
            <w:r>
              <w:rPr>
                <w:rFonts w:hint="eastAsia" w:ascii="仿宋" w:hAnsi="仿宋" w:eastAsia="仿宋" w:cs="仿宋"/>
                <w:sz w:val="24"/>
              </w:rPr>
              <w:t>20</w:t>
            </w:r>
            <w:r>
              <w:rPr>
                <w:rFonts w:ascii="仿宋" w:hAnsi="仿宋" w:eastAsia="仿宋" w:cs="仿宋"/>
                <w:sz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</w:rPr>
              <w:t>0</w:t>
            </w:r>
            <w:r>
              <w:rPr>
                <w:rFonts w:ascii="仿宋" w:hAnsi="仿宋" w:eastAsia="仿宋" w:cs="仿宋"/>
                <w:sz w:val="24"/>
              </w:rPr>
              <w:t>0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血必净注射液与COVID-19患者临床结局的相关性:一项基于倾向评分匹配的回顾性研究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章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  <w:r>
              <w:rPr>
                <w:rFonts w:ascii="仿宋" w:hAnsi="仿宋" w:eastAsia="仿宋" w:cs="仿宋"/>
                <w:sz w:val="24"/>
              </w:rPr>
              <w:t>萌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北京大学</w:t>
            </w:r>
          </w:p>
        </w:tc>
        <w:tc>
          <w:tcPr>
            <w:tcW w:w="1264" w:type="dxa"/>
            <w:vMerge w:val="continue"/>
            <w:noWrap w:val="0"/>
            <w:vAlign w:val="top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03" w:hRule="atLeast"/>
        </w:trPr>
        <w:tc>
          <w:tcPr>
            <w:tcW w:w="14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</w:t>
            </w:r>
            <w:r>
              <w:rPr>
                <w:rFonts w:ascii="仿宋" w:hAnsi="仿宋" w:eastAsia="仿宋" w:cs="仿宋"/>
                <w:sz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</w:rPr>
              <w:t>0</w:t>
            </w:r>
            <w:r>
              <w:rPr>
                <w:rFonts w:ascii="仿宋" w:hAnsi="仿宋" w:eastAsia="仿宋" w:cs="仿宋"/>
                <w:sz w:val="24"/>
              </w:rPr>
              <w:t>0-</w:t>
            </w:r>
            <w:r>
              <w:rPr>
                <w:rFonts w:hint="eastAsia" w:ascii="仿宋" w:hAnsi="仿宋" w:eastAsia="仿宋" w:cs="仿宋"/>
                <w:sz w:val="24"/>
              </w:rPr>
              <w:t>20</w:t>
            </w:r>
            <w:r>
              <w:rPr>
                <w:rFonts w:ascii="仿宋" w:hAnsi="仿宋" w:eastAsia="仿宋" w:cs="仿宋"/>
                <w:sz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</w:rPr>
              <w:t>1</w:t>
            </w:r>
            <w:r>
              <w:rPr>
                <w:rFonts w:ascii="仿宋" w:hAnsi="仿宋" w:eastAsia="仿宋" w:cs="仿宋"/>
                <w:sz w:val="24"/>
              </w:rPr>
              <w:t>0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基于机器学习的防治阿尔兹海默病的药物发现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范正悦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沈阳药科大学</w:t>
            </w:r>
          </w:p>
        </w:tc>
        <w:tc>
          <w:tcPr>
            <w:tcW w:w="1264" w:type="dxa"/>
            <w:vMerge w:val="restart"/>
            <w:noWrap w:val="0"/>
            <w:vAlign w:val="top"/>
          </w:tcPr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辛华雯</w:t>
            </w:r>
          </w:p>
          <w:p>
            <w:pPr>
              <w:pStyle w:val="26"/>
              <w:adjustRightInd w:val="0"/>
              <w:snapToGrid w:val="0"/>
              <w:ind w:left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主任医师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4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</w:t>
            </w:r>
            <w:r>
              <w:rPr>
                <w:rFonts w:ascii="仿宋" w:hAnsi="仿宋" w:eastAsia="仿宋" w:cs="仿宋"/>
                <w:sz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</w:rPr>
              <w:t>1</w:t>
            </w:r>
            <w:r>
              <w:rPr>
                <w:rFonts w:ascii="仿宋" w:hAnsi="仿宋" w:eastAsia="仿宋" w:cs="仿宋"/>
                <w:sz w:val="24"/>
              </w:rPr>
              <w:t>0-</w:t>
            </w:r>
            <w:r>
              <w:rPr>
                <w:rFonts w:hint="eastAsia" w:ascii="仿宋" w:hAnsi="仿宋" w:eastAsia="仿宋" w:cs="仿宋"/>
                <w:sz w:val="24"/>
              </w:rPr>
              <w:t>20</w:t>
            </w:r>
            <w:r>
              <w:rPr>
                <w:rFonts w:ascii="仿宋" w:hAnsi="仿宋" w:eastAsia="仿宋" w:cs="仿宋"/>
                <w:sz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</w:rPr>
              <w:t>2</w:t>
            </w:r>
            <w:r>
              <w:rPr>
                <w:rFonts w:ascii="仿宋" w:hAnsi="仿宋" w:eastAsia="仿宋" w:cs="仿宋"/>
                <w:sz w:val="24"/>
              </w:rPr>
              <w:t>0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中国女性九价HPV疫苗接种队列中HPV感染相关严重疾病上市后监测研究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杨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  <w:r>
              <w:rPr>
                <w:rFonts w:ascii="仿宋" w:hAnsi="仿宋" w:eastAsia="仿宋" w:cs="仿宋"/>
                <w:sz w:val="24"/>
              </w:rPr>
              <w:t>羽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北京大学</w:t>
            </w:r>
          </w:p>
        </w:tc>
        <w:tc>
          <w:tcPr>
            <w:tcW w:w="1264" w:type="dxa"/>
            <w:vMerge w:val="continue"/>
            <w:noWrap w:val="0"/>
            <w:vAlign w:val="top"/>
          </w:tcPr>
          <w:p>
            <w:pPr>
              <w:pStyle w:val="26"/>
              <w:spacing w:line="417" w:lineRule="auto"/>
              <w:ind w:right="177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4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</w:t>
            </w:r>
            <w:r>
              <w:rPr>
                <w:rFonts w:ascii="仿宋" w:hAnsi="仿宋" w:eastAsia="仿宋" w:cs="仿宋"/>
                <w:sz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</w:rPr>
              <w:t>2</w:t>
            </w:r>
            <w:r>
              <w:rPr>
                <w:rFonts w:ascii="仿宋" w:hAnsi="仿宋" w:eastAsia="仿宋" w:cs="仿宋"/>
                <w:sz w:val="24"/>
              </w:rPr>
              <w:t>0-</w:t>
            </w:r>
            <w:r>
              <w:rPr>
                <w:rFonts w:hint="eastAsia" w:ascii="仿宋" w:hAnsi="仿宋" w:eastAsia="仿宋" w:cs="仿宋"/>
                <w:sz w:val="24"/>
              </w:rPr>
              <w:t>20</w:t>
            </w:r>
            <w:r>
              <w:rPr>
                <w:rFonts w:ascii="仿宋" w:hAnsi="仿宋" w:eastAsia="仿宋" w:cs="仿宋"/>
                <w:sz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</w:rPr>
              <w:t>3</w:t>
            </w:r>
            <w:r>
              <w:rPr>
                <w:rFonts w:ascii="仿宋" w:hAnsi="仿宋" w:eastAsia="仿宋" w:cs="仿宋"/>
                <w:sz w:val="24"/>
              </w:rPr>
              <w:t>0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文献计量法在中药药物警戒领域中的应用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梁士兵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北京中医药大学</w:t>
            </w:r>
          </w:p>
        </w:tc>
        <w:tc>
          <w:tcPr>
            <w:tcW w:w="126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4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</w:t>
            </w:r>
            <w:r>
              <w:rPr>
                <w:rFonts w:ascii="仿宋" w:hAnsi="仿宋" w:eastAsia="仿宋" w:cs="仿宋"/>
                <w:sz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</w:rPr>
              <w:t>3</w:t>
            </w:r>
            <w:r>
              <w:rPr>
                <w:rFonts w:ascii="仿宋" w:hAnsi="仿宋" w:eastAsia="仿宋" w:cs="仿宋"/>
                <w:sz w:val="24"/>
              </w:rPr>
              <w:t>0-</w:t>
            </w:r>
            <w:r>
              <w:rPr>
                <w:rFonts w:hint="eastAsia" w:ascii="仿宋" w:hAnsi="仿宋" w:eastAsia="仿宋" w:cs="仿宋"/>
                <w:sz w:val="24"/>
              </w:rPr>
              <w:t>20</w:t>
            </w:r>
            <w:r>
              <w:rPr>
                <w:rFonts w:ascii="仿宋" w:hAnsi="仿宋" w:eastAsia="仿宋" w:cs="仿宋"/>
                <w:sz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</w:rPr>
              <w:t>4</w:t>
            </w:r>
            <w:r>
              <w:rPr>
                <w:rFonts w:ascii="仿宋" w:hAnsi="仿宋" w:eastAsia="仿宋" w:cs="仿宋"/>
                <w:sz w:val="24"/>
              </w:rPr>
              <w:t>0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10457例住院人群中三唑类抗真菌药相关肝损伤自动监测及风险因素分析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李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  <w:r>
              <w:rPr>
                <w:rFonts w:ascii="仿宋" w:hAnsi="仿宋" w:eastAsia="仿宋" w:cs="仿宋"/>
                <w:sz w:val="24"/>
              </w:rPr>
              <w:t>超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解放军总医院</w:t>
            </w:r>
          </w:p>
        </w:tc>
        <w:tc>
          <w:tcPr>
            <w:tcW w:w="126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4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20:40-20:50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探究5种中药注射剂联合FOLFOX化疗方案治疗晚期胃癌疗效的网状Meta分析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张瑜娴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沈阳药科大学</w:t>
            </w:r>
          </w:p>
        </w:tc>
        <w:tc>
          <w:tcPr>
            <w:tcW w:w="1264" w:type="dxa"/>
            <w:vMerge w:val="continue"/>
            <w:noWrap w:val="0"/>
            <w:vAlign w:val="center"/>
          </w:tcPr>
          <w:p>
            <w:pPr>
              <w:pStyle w:val="26"/>
              <w:spacing w:before="43"/>
              <w:ind w:left="60" w:right="57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5" w:hRule="atLeast"/>
        </w:trPr>
        <w:tc>
          <w:tcPr>
            <w:tcW w:w="14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20:50-21:00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  结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辛华雯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主任医师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中国人民解放军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中部战区总医院</w:t>
            </w:r>
          </w:p>
        </w:tc>
        <w:tc>
          <w:tcPr>
            <w:tcW w:w="1264" w:type="dxa"/>
            <w:vMerge w:val="continue"/>
            <w:noWrap w:val="0"/>
            <w:vAlign w:val="center"/>
          </w:tcPr>
          <w:p>
            <w:pPr>
              <w:pStyle w:val="26"/>
              <w:spacing w:before="43"/>
              <w:ind w:left="60" w:right="57"/>
              <w:jc w:val="center"/>
              <w:rPr>
                <w:szCs w:val="21"/>
              </w:rPr>
            </w:pPr>
          </w:p>
        </w:tc>
      </w:tr>
    </w:tbl>
    <w:p>
      <w:pPr>
        <w:widowControl/>
        <w:adjustRightInd w:val="0"/>
        <w:snapToGrid w:val="0"/>
        <w:spacing w:before="156" w:beforeLines="50" w:line="360" w:lineRule="auto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</w:p>
    <w:sectPr>
      <w:footerReference r:id="rId3" w:type="default"/>
      <w:pgSz w:w="11906" w:h="16838"/>
      <w:pgMar w:top="1418" w:right="1418" w:bottom="1418" w:left="1418" w:header="851" w:footer="79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经典超圆简">
    <w:altName w:val="宋体"/>
    <w:panose1 w:val="00000000000000000000"/>
    <w:charset w:val="86"/>
    <w:family w:val="roma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</w:rPr>
      <w:fldChar w:fldCharType="begin"/>
    </w:r>
    <w:r>
      <w:rPr>
        <w:rFonts w:hint="eastAsia" w:ascii="仿宋_GB2312" w:eastAsia="仿宋_GB2312"/>
        <w:sz w:val="24"/>
        <w:szCs w:val="24"/>
      </w:rPr>
      <w:instrText xml:space="preserve">PAGE   \* MERGEFORMAT</w:instrText>
    </w:r>
    <w:r>
      <w:rPr>
        <w:rFonts w:hint="eastAsia" w:ascii="仿宋_GB2312" w:eastAsia="仿宋_GB2312"/>
        <w:sz w:val="24"/>
        <w:szCs w:val="24"/>
      </w:rPr>
      <w:fldChar w:fldCharType="separate"/>
    </w:r>
    <w:r>
      <w:rPr>
        <w:rFonts w:ascii="仿宋_GB2312" w:eastAsia="仿宋_GB2312"/>
        <w:sz w:val="24"/>
        <w:szCs w:val="24"/>
        <w:lang w:val="zh-CN"/>
      </w:rPr>
      <w:t>1</w:t>
    </w:r>
    <w:r>
      <w:rPr>
        <w:rFonts w:hint="eastAsia" w:ascii="仿宋_GB2312" w:eastAsia="仿宋_GB2312"/>
        <w:sz w:val="24"/>
        <w:szCs w:val="24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xMTliN2I5YmNlNzE0YmMzMzVmNTA3YjdlYThlNTEifQ=="/>
  </w:docVars>
  <w:rsids>
    <w:rsidRoot w:val="6A34003B"/>
    <w:rsid w:val="000034B6"/>
    <w:rsid w:val="00004864"/>
    <w:rsid w:val="000049CC"/>
    <w:rsid w:val="00004E62"/>
    <w:rsid w:val="0004151B"/>
    <w:rsid w:val="00044E02"/>
    <w:rsid w:val="00047B0F"/>
    <w:rsid w:val="00055470"/>
    <w:rsid w:val="00083E15"/>
    <w:rsid w:val="000B09C7"/>
    <w:rsid w:val="000C6A65"/>
    <w:rsid w:val="000F3A7B"/>
    <w:rsid w:val="00141505"/>
    <w:rsid w:val="001630D4"/>
    <w:rsid w:val="00174111"/>
    <w:rsid w:val="00212105"/>
    <w:rsid w:val="002455B2"/>
    <w:rsid w:val="00246FA4"/>
    <w:rsid w:val="0025314A"/>
    <w:rsid w:val="00265605"/>
    <w:rsid w:val="0029461C"/>
    <w:rsid w:val="002B1C17"/>
    <w:rsid w:val="002B778D"/>
    <w:rsid w:val="002D25EE"/>
    <w:rsid w:val="00303795"/>
    <w:rsid w:val="00326012"/>
    <w:rsid w:val="00374B3C"/>
    <w:rsid w:val="003754EF"/>
    <w:rsid w:val="0038566D"/>
    <w:rsid w:val="003D4221"/>
    <w:rsid w:val="00427AF7"/>
    <w:rsid w:val="004307FB"/>
    <w:rsid w:val="004314F9"/>
    <w:rsid w:val="004418DE"/>
    <w:rsid w:val="00444DEE"/>
    <w:rsid w:val="00486B83"/>
    <w:rsid w:val="004F1D4F"/>
    <w:rsid w:val="005140D1"/>
    <w:rsid w:val="005219BE"/>
    <w:rsid w:val="00540E71"/>
    <w:rsid w:val="00546335"/>
    <w:rsid w:val="00552D16"/>
    <w:rsid w:val="00584941"/>
    <w:rsid w:val="005A245C"/>
    <w:rsid w:val="005A6203"/>
    <w:rsid w:val="005E4E8C"/>
    <w:rsid w:val="005E6E1E"/>
    <w:rsid w:val="00655120"/>
    <w:rsid w:val="00662929"/>
    <w:rsid w:val="00670EF7"/>
    <w:rsid w:val="00684B01"/>
    <w:rsid w:val="006D3F98"/>
    <w:rsid w:val="006D72CD"/>
    <w:rsid w:val="00713509"/>
    <w:rsid w:val="00713DE1"/>
    <w:rsid w:val="0072344A"/>
    <w:rsid w:val="00727971"/>
    <w:rsid w:val="0073437A"/>
    <w:rsid w:val="0076646A"/>
    <w:rsid w:val="007B4987"/>
    <w:rsid w:val="007C3CA2"/>
    <w:rsid w:val="007D3A8F"/>
    <w:rsid w:val="007D3E4C"/>
    <w:rsid w:val="007F5D10"/>
    <w:rsid w:val="00805478"/>
    <w:rsid w:val="008224FA"/>
    <w:rsid w:val="00826F03"/>
    <w:rsid w:val="00845E33"/>
    <w:rsid w:val="008472A6"/>
    <w:rsid w:val="0088565D"/>
    <w:rsid w:val="00892592"/>
    <w:rsid w:val="0090007B"/>
    <w:rsid w:val="00960207"/>
    <w:rsid w:val="00975740"/>
    <w:rsid w:val="009D58E8"/>
    <w:rsid w:val="00A503CA"/>
    <w:rsid w:val="00A91254"/>
    <w:rsid w:val="00AA01E4"/>
    <w:rsid w:val="00AA1435"/>
    <w:rsid w:val="00AA35E2"/>
    <w:rsid w:val="00AB1160"/>
    <w:rsid w:val="00AF0241"/>
    <w:rsid w:val="00AF3ECD"/>
    <w:rsid w:val="00B00DF3"/>
    <w:rsid w:val="00B04F59"/>
    <w:rsid w:val="00B065D3"/>
    <w:rsid w:val="00B719C5"/>
    <w:rsid w:val="00BA71EC"/>
    <w:rsid w:val="00BC00E6"/>
    <w:rsid w:val="00BD1045"/>
    <w:rsid w:val="00BE7636"/>
    <w:rsid w:val="00BF681E"/>
    <w:rsid w:val="00C320D8"/>
    <w:rsid w:val="00C501A2"/>
    <w:rsid w:val="00CD3696"/>
    <w:rsid w:val="00CF20C4"/>
    <w:rsid w:val="00D01735"/>
    <w:rsid w:val="00D40D21"/>
    <w:rsid w:val="00D677B8"/>
    <w:rsid w:val="00D960B6"/>
    <w:rsid w:val="00DA0045"/>
    <w:rsid w:val="00DA453B"/>
    <w:rsid w:val="00DA6BC7"/>
    <w:rsid w:val="00DD7FEB"/>
    <w:rsid w:val="00DF058D"/>
    <w:rsid w:val="00E05D5E"/>
    <w:rsid w:val="00E34060"/>
    <w:rsid w:val="00E508C0"/>
    <w:rsid w:val="00E65857"/>
    <w:rsid w:val="00E7258C"/>
    <w:rsid w:val="00E93702"/>
    <w:rsid w:val="00E961C2"/>
    <w:rsid w:val="00EC695D"/>
    <w:rsid w:val="00ED6CEE"/>
    <w:rsid w:val="00F052DA"/>
    <w:rsid w:val="00F06EFE"/>
    <w:rsid w:val="00F07CA2"/>
    <w:rsid w:val="00F1739C"/>
    <w:rsid w:val="00F24D79"/>
    <w:rsid w:val="00F61D70"/>
    <w:rsid w:val="00F84C1C"/>
    <w:rsid w:val="00F91023"/>
    <w:rsid w:val="00F96FF2"/>
    <w:rsid w:val="00FC09E2"/>
    <w:rsid w:val="00FC2863"/>
    <w:rsid w:val="00FE0463"/>
    <w:rsid w:val="09FA3E37"/>
    <w:rsid w:val="0AFC48E8"/>
    <w:rsid w:val="0BAE3F92"/>
    <w:rsid w:val="0C9C03FB"/>
    <w:rsid w:val="0F893BF3"/>
    <w:rsid w:val="11056D1C"/>
    <w:rsid w:val="121D4587"/>
    <w:rsid w:val="151F3676"/>
    <w:rsid w:val="15BF6127"/>
    <w:rsid w:val="1939299D"/>
    <w:rsid w:val="1DE24F61"/>
    <w:rsid w:val="1E9137F7"/>
    <w:rsid w:val="1FC47C82"/>
    <w:rsid w:val="226406C1"/>
    <w:rsid w:val="23C70BD2"/>
    <w:rsid w:val="27BD2358"/>
    <w:rsid w:val="288602EB"/>
    <w:rsid w:val="2ABE3D6C"/>
    <w:rsid w:val="2BAD578A"/>
    <w:rsid w:val="2C2A5331"/>
    <w:rsid w:val="2D7E4F01"/>
    <w:rsid w:val="2E1C5D28"/>
    <w:rsid w:val="2E67471B"/>
    <w:rsid w:val="2E8578D8"/>
    <w:rsid w:val="2F794A2B"/>
    <w:rsid w:val="315A75FB"/>
    <w:rsid w:val="31703BE1"/>
    <w:rsid w:val="32497BC4"/>
    <w:rsid w:val="328373FA"/>
    <w:rsid w:val="330C1CEE"/>
    <w:rsid w:val="335B6A1C"/>
    <w:rsid w:val="353B6EC7"/>
    <w:rsid w:val="365B14DE"/>
    <w:rsid w:val="372721F2"/>
    <w:rsid w:val="399E628C"/>
    <w:rsid w:val="3A12042A"/>
    <w:rsid w:val="3B674C4D"/>
    <w:rsid w:val="3B7C7A57"/>
    <w:rsid w:val="3C3E09D1"/>
    <w:rsid w:val="3C5E433B"/>
    <w:rsid w:val="3F027626"/>
    <w:rsid w:val="3F6F5C19"/>
    <w:rsid w:val="49E831E2"/>
    <w:rsid w:val="4A772A2C"/>
    <w:rsid w:val="4B713811"/>
    <w:rsid w:val="4D1A1C7B"/>
    <w:rsid w:val="4E315E37"/>
    <w:rsid w:val="4E9A4814"/>
    <w:rsid w:val="54550957"/>
    <w:rsid w:val="5576574B"/>
    <w:rsid w:val="55EB1D1B"/>
    <w:rsid w:val="56B52499"/>
    <w:rsid w:val="575C3ECC"/>
    <w:rsid w:val="57C67397"/>
    <w:rsid w:val="5A281AE3"/>
    <w:rsid w:val="5A3645CE"/>
    <w:rsid w:val="5BCB45EE"/>
    <w:rsid w:val="5CED5A00"/>
    <w:rsid w:val="609C6357"/>
    <w:rsid w:val="62B8192E"/>
    <w:rsid w:val="64B74F78"/>
    <w:rsid w:val="64EC1985"/>
    <w:rsid w:val="69D83348"/>
    <w:rsid w:val="6A34003B"/>
    <w:rsid w:val="6A777CB0"/>
    <w:rsid w:val="6B306D72"/>
    <w:rsid w:val="6B3F2901"/>
    <w:rsid w:val="6C34432A"/>
    <w:rsid w:val="6C593C3A"/>
    <w:rsid w:val="6CED5A13"/>
    <w:rsid w:val="6DC01176"/>
    <w:rsid w:val="6E4F423E"/>
    <w:rsid w:val="6E503C29"/>
    <w:rsid w:val="6EAA173F"/>
    <w:rsid w:val="710142F3"/>
    <w:rsid w:val="72ED20ED"/>
    <w:rsid w:val="730F188C"/>
    <w:rsid w:val="73E77A93"/>
    <w:rsid w:val="74A968F0"/>
    <w:rsid w:val="78FE1634"/>
    <w:rsid w:val="7B9003DA"/>
    <w:rsid w:val="7C2B2C4A"/>
    <w:rsid w:val="7D88441C"/>
    <w:rsid w:val="7FA76BED"/>
    <w:rsid w:val="7FF653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0"/>
    <w:pPr>
      <w:jc w:val="left"/>
    </w:p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8"/>
    <w:uiPriority w:val="0"/>
    <w:rPr>
      <w:b/>
      <w:bCs/>
    </w:rPr>
  </w:style>
  <w:style w:type="character" w:styleId="9">
    <w:name w:val="FollowedHyperlink"/>
    <w:qFormat/>
    <w:uiPriority w:val="0"/>
    <w:rPr>
      <w:color w:val="333333"/>
      <w:u w:val="single"/>
    </w:rPr>
  </w:style>
  <w:style w:type="character" w:styleId="10">
    <w:name w:val="Emphasis"/>
    <w:qFormat/>
    <w:uiPriority w:val="0"/>
  </w:style>
  <w:style w:type="character" w:styleId="11">
    <w:name w:val="HTML Definition"/>
    <w:qFormat/>
    <w:uiPriority w:val="0"/>
  </w:style>
  <w:style w:type="character" w:styleId="12">
    <w:name w:val="Hyperlink"/>
    <w:qFormat/>
    <w:uiPriority w:val="0"/>
    <w:rPr>
      <w:color w:val="0000FF"/>
      <w:u w:val="single"/>
    </w:rPr>
  </w:style>
  <w:style w:type="character" w:styleId="13">
    <w:name w:val="annotation reference"/>
    <w:uiPriority w:val="0"/>
    <w:rPr>
      <w:sz w:val="21"/>
      <w:szCs w:val="21"/>
    </w:rPr>
  </w:style>
  <w:style w:type="character" w:customStyle="1" w:styleId="14">
    <w:name w:val="批注文字 字符"/>
    <w:link w:val="2"/>
    <w:uiPriority w:val="0"/>
    <w:rPr>
      <w:rFonts w:ascii="Calibri" w:hAnsi="Calibri"/>
      <w:kern w:val="2"/>
      <w:sz w:val="21"/>
      <w:szCs w:val="24"/>
    </w:rPr>
  </w:style>
  <w:style w:type="character" w:customStyle="1" w:styleId="15">
    <w:name w:val="批注框文本 字符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6">
    <w:name w:val="页脚 字符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7">
    <w:name w:val="页眉 字符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8">
    <w:name w:val="批注主题 字符"/>
    <w:link w:val="6"/>
    <w:uiPriority w:val="0"/>
    <w:rPr>
      <w:rFonts w:ascii="Calibri" w:hAnsi="Calibri"/>
      <w:b/>
      <w:bCs/>
      <w:kern w:val="2"/>
      <w:sz w:val="21"/>
      <w:szCs w:val="24"/>
    </w:rPr>
  </w:style>
  <w:style w:type="character" w:customStyle="1" w:styleId="19">
    <w:name w:val="sawadee_powerby"/>
    <w:qFormat/>
    <w:uiPriority w:val="0"/>
    <w:rPr>
      <w:color w:val="333333"/>
      <w:spacing w:val="0"/>
      <w:sz w:val="21"/>
      <w:szCs w:val="21"/>
    </w:rPr>
  </w:style>
  <w:style w:type="character" w:customStyle="1" w:styleId="20">
    <w:name w:val="detail-headline_position_text1"/>
    <w:qFormat/>
    <w:uiPriority w:val="0"/>
  </w:style>
  <w:style w:type="character" w:customStyle="1" w:styleId="21">
    <w:name w:val="hover8"/>
    <w:qFormat/>
    <w:uiPriority w:val="0"/>
    <w:rPr>
      <w:color w:val="FF6D00"/>
    </w:rPr>
  </w:style>
  <w:style w:type="character" w:customStyle="1" w:styleId="22">
    <w:name w:val="underline"/>
    <w:qFormat/>
    <w:uiPriority w:val="0"/>
  </w:style>
  <w:style w:type="character" w:customStyle="1" w:styleId="23">
    <w:name w:val="hover7"/>
    <w:qFormat/>
    <w:uiPriority w:val="0"/>
  </w:style>
  <w:style w:type="character" w:customStyle="1" w:styleId="24">
    <w:name w:val="last-child"/>
    <w:qFormat/>
    <w:uiPriority w:val="0"/>
    <w:rPr>
      <w:color w:val="6B8299"/>
      <w:sz w:val="18"/>
      <w:szCs w:val="18"/>
    </w:rPr>
  </w:style>
  <w:style w:type="paragraph" w:styleId="25">
    <w:name w:val=""/>
    <w:unhideWhenUsed/>
    <w:uiPriority w:val="99"/>
    <w:rPr>
      <w:rFonts w:ascii="Calibri" w:hAnsi="Calibri"/>
      <w:kern w:val="2"/>
      <w:sz w:val="21"/>
      <w:szCs w:val="24"/>
      <w:lang w:val="en-US" w:eastAsia="zh-CN" w:bidi="ar-SA"/>
    </w:rPr>
  </w:style>
  <w:style w:type="paragraph" w:customStyle="1" w:styleId="26">
    <w:name w:val="Table Paragraph"/>
    <w:basedOn w:val="1"/>
    <w:qFormat/>
    <w:uiPriority w:val="1"/>
    <w:pPr>
      <w:ind w:left="106"/>
    </w:pPr>
  </w:style>
  <w:style w:type="paragraph" w:styleId="27">
    <w:name w:val="List Paragraph"/>
    <w:basedOn w:val="1"/>
    <w:qFormat/>
    <w:uiPriority w:val="99"/>
    <w:pPr>
      <w:ind w:firstLine="420" w:firstLineChars="200"/>
    </w:pPr>
  </w:style>
  <w:style w:type="character" w:customStyle="1" w:styleId="28">
    <w:name w:val="未处理的提及"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2915</Words>
  <Characters>3654</Characters>
  <Lines>31</Lines>
  <Paragraphs>8</Paragraphs>
  <TotalTime>5</TotalTime>
  <ScaleCrop>false</ScaleCrop>
  <LinksUpToDate>false</LinksUpToDate>
  <CharactersWithSpaces>3892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2022-11-05T08:47:00Z</dcterms:created>
  <dc:creator>清汖乐</dc:creator>
  <cp:lastModifiedBy>GHY</cp:lastModifiedBy>
  <cp:lastPrinted>2022-11-08T06:32:00Z</cp:lastPrinted>
  <dcterms:modified xsi:type="dcterms:W3CDTF">2022-11-09T01:30:20Z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1621B1FDE5A94435B8E343BCAEFF759B</vt:lpwstr>
  </property>
</Properties>
</file>