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87" w:rsidRPr="00B32660" w:rsidRDefault="004B014C">
      <w:pPr>
        <w:rPr>
          <w:rFonts w:ascii="黑体" w:eastAsia="黑体" w:hAnsi="黑体"/>
          <w:sz w:val="32"/>
          <w:szCs w:val="32"/>
        </w:rPr>
      </w:pPr>
      <w:r w:rsidRPr="00B32660">
        <w:rPr>
          <w:rFonts w:ascii="黑体" w:eastAsia="黑体" w:hAnsi="黑体" w:hint="eastAsia"/>
          <w:sz w:val="32"/>
          <w:szCs w:val="32"/>
        </w:rPr>
        <w:t>附件</w:t>
      </w:r>
      <w:r w:rsidR="001957D8">
        <w:rPr>
          <w:rFonts w:ascii="黑体" w:eastAsia="黑体" w:hAnsi="黑体" w:hint="eastAsia"/>
          <w:sz w:val="32"/>
          <w:szCs w:val="32"/>
        </w:rPr>
        <w:t>1</w:t>
      </w:r>
    </w:p>
    <w:p w:rsidR="004B014C" w:rsidRPr="001B5CBF" w:rsidRDefault="00132C92" w:rsidP="001B5CBF">
      <w:pPr>
        <w:spacing w:afterLines="100" w:after="312" w:line="60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32C92">
        <w:rPr>
          <w:rFonts w:ascii="方正小标宋简体" w:eastAsia="方正小标宋简体" w:hAnsi="方正小标宋简体" w:hint="eastAsia"/>
          <w:sz w:val="36"/>
          <w:szCs w:val="36"/>
        </w:rPr>
        <w:t>2023年中国药学会—施维雅青年医院药学创新研究资助项目</w:t>
      </w:r>
    </w:p>
    <w:tbl>
      <w:tblPr>
        <w:tblStyle w:val="a5"/>
        <w:tblW w:w="14332" w:type="dxa"/>
        <w:jc w:val="center"/>
        <w:tblLook w:val="04A0" w:firstRow="1" w:lastRow="0" w:firstColumn="1" w:lastColumn="0" w:noHBand="0" w:noVBand="1"/>
      </w:tblPr>
      <w:tblGrid>
        <w:gridCol w:w="805"/>
        <w:gridCol w:w="5164"/>
        <w:gridCol w:w="2835"/>
        <w:gridCol w:w="1134"/>
        <w:gridCol w:w="4394"/>
      </w:tblGrid>
      <w:tr w:rsidR="006521BB" w:rsidRPr="00471361" w:rsidTr="002A11D3">
        <w:trPr>
          <w:trHeight w:val="603"/>
          <w:jc w:val="center"/>
        </w:trPr>
        <w:tc>
          <w:tcPr>
            <w:tcW w:w="805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5164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1134" w:type="dxa"/>
            <w:vAlign w:val="center"/>
          </w:tcPr>
          <w:p w:rsidR="00762C05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</w:p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4394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项目团队成员</w:t>
            </w:r>
          </w:p>
        </w:tc>
      </w:tr>
      <w:tr w:rsidR="006521BB" w:rsidRPr="00471361" w:rsidTr="002A11D3">
        <w:trPr>
          <w:trHeight w:val="1489"/>
          <w:jc w:val="center"/>
        </w:trPr>
        <w:tc>
          <w:tcPr>
            <w:tcW w:w="805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BB" w:rsidRPr="00471361" w:rsidRDefault="00750923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基于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LC/MS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的中药药效物质基础自动化研究平台的建立及其在复</w:t>
            </w:r>
            <w:r w:rsidRPr="00471361">
              <w:rPr>
                <w:rFonts w:ascii="Times New Roman" w:eastAsia="宋体" w:hAnsi="Times New Roman" w:cs="Times New Roman"/>
                <w:sz w:val="28"/>
                <w:szCs w:val="28"/>
              </w:rPr>
              <w:t>甦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片治疗系统性硬皮病活性物质组研究中的应用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750923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中国医学科学院北京协和医院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750923" w:rsidP="002172F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左玮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750923" w:rsidP="00750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梁春苏、李文瀚、牛子冉</w:t>
            </w:r>
          </w:p>
        </w:tc>
      </w:tr>
      <w:tr w:rsidR="006521BB" w:rsidRPr="00471361" w:rsidTr="002A11D3">
        <w:trPr>
          <w:trHeight w:val="1411"/>
          <w:jc w:val="center"/>
        </w:trPr>
        <w:tc>
          <w:tcPr>
            <w:tcW w:w="805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BB" w:rsidRPr="00471361" w:rsidRDefault="000772B7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基于施旺细胞</w:t>
            </w:r>
            <w:proofErr w:type="gramEnd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溶酶体功能障碍毒理机制的青蒿</w:t>
            </w:r>
            <w:proofErr w:type="gramStart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素改善硼替佐米</w:t>
            </w:r>
            <w:proofErr w:type="gramEnd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周围神经病变的随机对照研究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0772B7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浙江大学医学院附属第一医院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B7" w:rsidRPr="00471361" w:rsidRDefault="000772B7" w:rsidP="000772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吴佳莹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B7" w:rsidRPr="00471361" w:rsidRDefault="000772B7" w:rsidP="000772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任晋帅、蔡先惠、胡云珍、吴展勋</w:t>
            </w:r>
          </w:p>
        </w:tc>
      </w:tr>
      <w:tr w:rsidR="006521BB" w:rsidRPr="00471361" w:rsidTr="002A11D3">
        <w:trPr>
          <w:trHeight w:val="1124"/>
          <w:jc w:val="center"/>
        </w:trPr>
        <w:tc>
          <w:tcPr>
            <w:tcW w:w="805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BB" w:rsidRPr="00471361" w:rsidRDefault="00F52FB7" w:rsidP="00CE7E15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免疫血栓性血小板减少新生标志物的临床</w:t>
            </w:r>
            <w:r w:rsidR="00CE7E1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评价</w:t>
            </w:r>
            <w:bookmarkStart w:id="0" w:name="_GoBack"/>
            <w:bookmarkEnd w:id="0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研究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F52FB7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北京大学第一医院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F52FB7" w:rsidP="002172F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刘志艳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E6C" w:rsidRDefault="00F52FB7" w:rsidP="00F52FB7">
            <w:pPr>
              <w:jc w:val="center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夏驭龙</w:t>
            </w:r>
            <w:r w:rsidR="00DB78A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赵楠</w:t>
            </w:r>
            <w:r w:rsidR="00DB78A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胡琨</w:t>
            </w:r>
            <w:r w:rsidR="00DB78A5"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王哲</w:t>
            </w:r>
            <w:r w:rsidR="00DB78A5"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</w:p>
          <w:p w:rsidR="00DB78A5" w:rsidRPr="00471361" w:rsidRDefault="00F52FB7" w:rsidP="00F52F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母光</w:t>
            </w:r>
            <w:proofErr w:type="gramStart"/>
            <w:r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妍</w:t>
            </w:r>
            <w:proofErr w:type="gramEnd"/>
            <w:r w:rsidR="00DB78A5"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张涵煦</w:t>
            </w:r>
            <w:r w:rsidR="00DB78A5"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袁绍鹏、高磊、张馨予</w:t>
            </w:r>
          </w:p>
        </w:tc>
      </w:tr>
      <w:tr w:rsidR="006521BB" w:rsidRPr="00471361" w:rsidTr="002A11D3">
        <w:trPr>
          <w:trHeight w:val="1124"/>
          <w:jc w:val="center"/>
        </w:trPr>
        <w:tc>
          <w:tcPr>
            <w:tcW w:w="805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BB" w:rsidRPr="00471361" w:rsidRDefault="00AD6499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649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宏观认知理论下心力衰竭药物治疗管理模式的构建与验证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F52FB7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重庆医科大学附属第二医院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F52FB7" w:rsidP="002172F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王娜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E6C" w:rsidRDefault="00F52FB7" w:rsidP="00762C05">
            <w:pPr>
              <w:pStyle w:val="Defaul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钱妍</w:t>
            </w:r>
            <w:r w:rsidR="003D3664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张波</w:t>
            </w:r>
            <w:r w:rsidR="00762C0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凌巧</w:t>
            </w:r>
            <w:r w:rsidR="00762C0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胡帮琴</w:t>
            </w:r>
            <w:r w:rsidR="00762C0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</w:p>
          <w:p w:rsidR="006521BB" w:rsidRPr="00471361" w:rsidRDefault="00F52FB7" w:rsidP="00762C05">
            <w:pPr>
              <w:pStyle w:val="Defaul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雷筱梅</w:t>
            </w:r>
            <w:r w:rsidR="00762C0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林铅</w:t>
            </w:r>
            <w:proofErr w:type="gramStart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凯</w:t>
            </w:r>
            <w:proofErr w:type="gramEnd"/>
            <w:r w:rsidR="00762C0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肖琴</w:t>
            </w:r>
          </w:p>
        </w:tc>
      </w:tr>
      <w:tr w:rsidR="006521BB" w:rsidRPr="00471361" w:rsidTr="002A11D3">
        <w:trPr>
          <w:trHeight w:val="1124"/>
          <w:jc w:val="center"/>
        </w:trPr>
        <w:tc>
          <w:tcPr>
            <w:tcW w:w="805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BB" w:rsidRPr="00471361" w:rsidRDefault="00F52FB7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肺癌患者肿瘤免疫治疗</w:t>
            </w:r>
            <w:proofErr w:type="gramStart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超进展</w:t>
            </w:r>
            <w:proofErr w:type="gramEnd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的用药决策系统的构建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F52FB7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东南大学附属中大医院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F52FB7" w:rsidP="002172F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牛</w:t>
            </w:r>
            <w:proofErr w:type="gramStart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一</w:t>
            </w:r>
            <w:proofErr w:type="gramEnd"/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F52FB7" w:rsidP="00762C05">
            <w:pPr>
              <w:pStyle w:val="Default"/>
              <w:jc w:val="center"/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邵华</w:t>
            </w:r>
            <w:r w:rsidR="00762C0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="0050148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刘燕文</w:t>
            </w:r>
            <w:r w:rsidR="00762C0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、</w:t>
            </w:r>
            <w:r w:rsidR="0050148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李晨露</w:t>
            </w:r>
            <w:r w:rsidR="00762C0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、</w:t>
            </w:r>
            <w:r w:rsidR="0050148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曹梦妲</w:t>
            </w:r>
            <w:r w:rsidR="00762C0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、</w:t>
            </w:r>
            <w:r w:rsidR="0050148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张静</w:t>
            </w:r>
            <w:r w:rsidR="00762C0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、</w:t>
            </w:r>
            <w:r w:rsidR="0050148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范云龙</w:t>
            </w:r>
            <w:r w:rsidR="00762C0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、</w:t>
            </w:r>
            <w:r w:rsidR="00501485" w:rsidRPr="00471361">
              <w:rPr>
                <w:rFonts w:ascii="Times New Roman" w:eastAsia="仿宋_GB2312" w:hAnsi="Times New Roman" w:cs="Times New Roman"/>
                <w:color w:val="0D0D0D"/>
                <w:sz w:val="28"/>
                <w:szCs w:val="28"/>
              </w:rPr>
              <w:t>施传奇、张熙晗</w:t>
            </w:r>
          </w:p>
        </w:tc>
      </w:tr>
      <w:tr w:rsidR="006521BB" w:rsidRPr="00471361" w:rsidTr="002A11D3">
        <w:trPr>
          <w:trHeight w:val="1124"/>
          <w:jc w:val="center"/>
        </w:trPr>
        <w:tc>
          <w:tcPr>
            <w:tcW w:w="805" w:type="dxa"/>
            <w:vAlign w:val="center"/>
          </w:tcPr>
          <w:p w:rsidR="006521BB" w:rsidRPr="00471361" w:rsidRDefault="006521BB" w:rsidP="002172F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BB" w:rsidRPr="00471361" w:rsidRDefault="00EB4E6C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产甲酸多尔氏</w:t>
            </w:r>
            <w:proofErr w:type="gramStart"/>
            <w:r w:rsidR="0050148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菌影响</w:t>
            </w:r>
            <w:proofErr w:type="gramEnd"/>
            <w:r w:rsidR="0050148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PD-1</w:t>
            </w:r>
            <w:r w:rsidR="0050148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抑制剂所致免疫相关不良反应的机制研究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501485" w:rsidP="002172F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中南大学湘雅二医院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BB" w:rsidRPr="00471361" w:rsidRDefault="00501485" w:rsidP="002172F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刘文辉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E6C" w:rsidRDefault="00501485" w:rsidP="002172F0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张毕奎</w:t>
            </w:r>
            <w:r w:rsidR="00762C05"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1361">
              <w:rPr>
                <w:rFonts w:ascii="Times New Roman" w:eastAsia="仿宋_GB2312" w:hAnsi="Times New Roman" w:cs="Times New Roman"/>
                <w:sz w:val="28"/>
                <w:szCs w:val="28"/>
              </w:rPr>
              <w:t>罗芝英、孙宝、杨</w:t>
            </w:r>
            <w:r w:rsidRPr="00471361">
              <w:rPr>
                <w:rFonts w:ascii="Times New Roman" w:eastAsia="宋体" w:hAnsi="Times New Roman" w:cs="Times New Roman"/>
                <w:sz w:val="28"/>
                <w:szCs w:val="28"/>
              </w:rPr>
              <w:t>玥、</w:t>
            </w:r>
          </w:p>
          <w:p w:rsidR="006521BB" w:rsidRPr="00471361" w:rsidRDefault="00501485" w:rsidP="002172F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1361">
              <w:rPr>
                <w:rFonts w:ascii="Times New Roman" w:eastAsia="宋体" w:hAnsi="Times New Roman" w:cs="Times New Roman"/>
                <w:sz w:val="28"/>
                <w:szCs w:val="28"/>
              </w:rPr>
              <w:t>马芳、冯叶</w:t>
            </w:r>
            <w:proofErr w:type="gramStart"/>
            <w:r w:rsidRPr="00471361">
              <w:rPr>
                <w:rFonts w:ascii="Times New Roman" w:eastAsia="宋体" w:hAnsi="Times New Roman" w:cs="Times New Roman"/>
                <w:sz w:val="28"/>
                <w:szCs w:val="28"/>
              </w:rPr>
              <w:t>倩</w:t>
            </w:r>
            <w:proofErr w:type="gramEnd"/>
          </w:p>
        </w:tc>
      </w:tr>
    </w:tbl>
    <w:p w:rsidR="004B014C" w:rsidRPr="007A51AB" w:rsidRDefault="004B014C" w:rsidP="004B014C">
      <w:pPr>
        <w:rPr>
          <w:rFonts w:ascii="仿宋_GB2312" w:eastAsia="仿宋_GB2312"/>
          <w:sz w:val="28"/>
          <w:szCs w:val="28"/>
        </w:rPr>
      </w:pPr>
    </w:p>
    <w:sectPr w:rsidR="004B014C" w:rsidRPr="007A51AB" w:rsidSect="00F52FB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5B" w:rsidRDefault="00391B5B" w:rsidP="004B014C">
      <w:r>
        <w:separator/>
      </w:r>
    </w:p>
  </w:endnote>
  <w:endnote w:type="continuationSeparator" w:id="0">
    <w:p w:rsidR="00391B5B" w:rsidRDefault="00391B5B" w:rsidP="004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5B" w:rsidRDefault="00391B5B" w:rsidP="004B014C">
      <w:r>
        <w:separator/>
      </w:r>
    </w:p>
  </w:footnote>
  <w:footnote w:type="continuationSeparator" w:id="0">
    <w:p w:rsidR="00391B5B" w:rsidRDefault="00391B5B" w:rsidP="004B0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6C"/>
    <w:rsid w:val="000772B7"/>
    <w:rsid w:val="00132C92"/>
    <w:rsid w:val="001957D8"/>
    <w:rsid w:val="001B45E1"/>
    <w:rsid w:val="001B5CBF"/>
    <w:rsid w:val="001F038F"/>
    <w:rsid w:val="00215EA0"/>
    <w:rsid w:val="002172F0"/>
    <w:rsid w:val="002503D3"/>
    <w:rsid w:val="002723CE"/>
    <w:rsid w:val="002A11D3"/>
    <w:rsid w:val="00391B5B"/>
    <w:rsid w:val="003C269C"/>
    <w:rsid w:val="003D0F1B"/>
    <w:rsid w:val="003D3664"/>
    <w:rsid w:val="00471361"/>
    <w:rsid w:val="004B014C"/>
    <w:rsid w:val="00501485"/>
    <w:rsid w:val="005706CD"/>
    <w:rsid w:val="00580B87"/>
    <w:rsid w:val="00610788"/>
    <w:rsid w:val="006521BB"/>
    <w:rsid w:val="006834EA"/>
    <w:rsid w:val="006B6CDB"/>
    <w:rsid w:val="00750923"/>
    <w:rsid w:val="00762C05"/>
    <w:rsid w:val="00767445"/>
    <w:rsid w:val="00795190"/>
    <w:rsid w:val="007A51AB"/>
    <w:rsid w:val="0089231F"/>
    <w:rsid w:val="008A3014"/>
    <w:rsid w:val="008C5F6C"/>
    <w:rsid w:val="008D4B1B"/>
    <w:rsid w:val="008F2EAE"/>
    <w:rsid w:val="009E12FB"/>
    <w:rsid w:val="00A84A51"/>
    <w:rsid w:val="00AD6499"/>
    <w:rsid w:val="00B321D1"/>
    <w:rsid w:val="00B32660"/>
    <w:rsid w:val="00C17BB7"/>
    <w:rsid w:val="00C20E1F"/>
    <w:rsid w:val="00C5650B"/>
    <w:rsid w:val="00C84C67"/>
    <w:rsid w:val="00CB74E2"/>
    <w:rsid w:val="00CE7E15"/>
    <w:rsid w:val="00D31694"/>
    <w:rsid w:val="00DB78A5"/>
    <w:rsid w:val="00EB4E6C"/>
    <w:rsid w:val="00F15283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14C"/>
    <w:rPr>
      <w:sz w:val="18"/>
      <w:szCs w:val="18"/>
    </w:rPr>
  </w:style>
  <w:style w:type="table" w:styleId="a5">
    <w:name w:val="Table Grid"/>
    <w:basedOn w:val="a1"/>
    <w:uiPriority w:val="39"/>
    <w:rsid w:val="004B0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7B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BB7"/>
    <w:rPr>
      <w:sz w:val="18"/>
      <w:szCs w:val="18"/>
    </w:rPr>
  </w:style>
  <w:style w:type="paragraph" w:customStyle="1" w:styleId="Default">
    <w:name w:val="Default"/>
    <w:rsid w:val="003D366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14C"/>
    <w:rPr>
      <w:sz w:val="18"/>
      <w:szCs w:val="18"/>
    </w:rPr>
  </w:style>
  <w:style w:type="table" w:styleId="a5">
    <w:name w:val="Table Grid"/>
    <w:basedOn w:val="a1"/>
    <w:uiPriority w:val="39"/>
    <w:rsid w:val="004B0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7B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BB7"/>
    <w:rPr>
      <w:sz w:val="18"/>
      <w:szCs w:val="18"/>
    </w:rPr>
  </w:style>
  <w:style w:type="paragraph" w:customStyle="1" w:styleId="Default">
    <w:name w:val="Default"/>
    <w:rsid w:val="003D366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</dc:creator>
  <cp:lastModifiedBy>xb21cn</cp:lastModifiedBy>
  <cp:revision>7</cp:revision>
  <cp:lastPrinted>2023-05-11T06:08:00Z</cp:lastPrinted>
  <dcterms:created xsi:type="dcterms:W3CDTF">2023-04-18T07:36:00Z</dcterms:created>
  <dcterms:modified xsi:type="dcterms:W3CDTF">2023-05-11T07:14:00Z</dcterms:modified>
</cp:coreProperties>
</file>