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8B00" w14:textId="77777777" w:rsidR="00471A99" w:rsidRPr="0015662C" w:rsidRDefault="00471A99" w:rsidP="00471A99">
      <w:pPr>
        <w:jc w:val="left"/>
        <w:rPr>
          <w:rFonts w:ascii="微软雅黑" w:eastAsia="微软雅黑" w:hAnsi="微软雅黑" w:hint="eastAsia"/>
        </w:rPr>
      </w:pPr>
      <w:r w:rsidRPr="0015662C">
        <w:rPr>
          <w:rFonts w:ascii="微软雅黑" w:eastAsia="微软雅黑" w:hAnsi="微软雅黑" w:hint="eastAsia"/>
        </w:rPr>
        <w:t>附件1：</w:t>
      </w:r>
    </w:p>
    <w:p w14:paraId="176D6C9F" w14:textId="77777777" w:rsidR="00471A99" w:rsidRPr="0015662C" w:rsidRDefault="00471A99" w:rsidP="00471A99">
      <w:pPr>
        <w:adjustRightInd w:val="0"/>
        <w:snapToGrid w:val="0"/>
        <w:spacing w:afterLines="50" w:after="156"/>
        <w:jc w:val="center"/>
        <w:rPr>
          <w:rFonts w:ascii="微软雅黑" w:eastAsia="微软雅黑" w:hAnsi="微软雅黑" w:hint="eastAsia"/>
          <w:bCs/>
          <w:color w:val="000000"/>
          <w:shd w:val="clear" w:color="auto" w:fill="FFFFFF"/>
        </w:rPr>
      </w:pPr>
      <w:r w:rsidRPr="0015662C">
        <w:rPr>
          <w:rFonts w:ascii="微软雅黑" w:eastAsia="微软雅黑" w:hAnsi="微软雅黑" w:hint="eastAsia"/>
          <w:bCs/>
          <w:color w:val="000000"/>
          <w:shd w:val="clear" w:color="auto" w:fill="FFFFFF"/>
        </w:rPr>
        <w:t>会议内容及日程安排</w:t>
      </w:r>
    </w:p>
    <w:p w14:paraId="5BECDFB5" w14:textId="77777777" w:rsidR="00471A99" w:rsidRPr="0015662C" w:rsidRDefault="00471A99" w:rsidP="00471A99">
      <w:pPr>
        <w:pStyle w:val="a7"/>
        <w:numPr>
          <w:ilvl w:val="0"/>
          <w:numId w:val="1"/>
        </w:numPr>
        <w:spacing w:beforeLines="50" w:before="156" w:afterLines="50" w:after="156" w:line="560" w:lineRule="exact"/>
        <w:ind w:firstLineChars="0"/>
        <w:rPr>
          <w:rFonts w:ascii="微软雅黑" w:eastAsia="微软雅黑" w:hAnsi="微软雅黑" w:cs="黑体" w:hint="eastAsia"/>
          <w:sz w:val="24"/>
          <w:szCs w:val="24"/>
        </w:rPr>
      </w:pPr>
      <w:r w:rsidRPr="0015662C">
        <w:rPr>
          <w:rFonts w:ascii="微软雅黑" w:eastAsia="微软雅黑" w:hAnsi="微软雅黑" w:cs="黑体" w:hint="eastAsia"/>
          <w:sz w:val="24"/>
          <w:szCs w:val="24"/>
        </w:rPr>
        <w:t>大会开幕式及大会报告（11月28日上午）</w:t>
      </w:r>
    </w:p>
    <w:p w14:paraId="294F1BB1" w14:textId="77777777" w:rsidR="00471A99" w:rsidRPr="0015662C" w:rsidRDefault="00471A99" w:rsidP="00471A99">
      <w:pPr>
        <w:numPr>
          <w:ilvl w:val="0"/>
          <w:numId w:val="2"/>
        </w:numPr>
        <w:snapToGrid w:val="0"/>
        <w:spacing w:line="560" w:lineRule="exact"/>
        <w:rPr>
          <w:rFonts w:ascii="微软雅黑" w:eastAsia="微软雅黑" w:hAnsi="微软雅黑" w:hint="eastAsia"/>
        </w:rPr>
      </w:pPr>
      <w:r w:rsidRPr="0015662C">
        <w:rPr>
          <w:rFonts w:ascii="微软雅黑" w:eastAsia="微软雅黑" w:hAnsi="微软雅黑" w:hint="eastAsia"/>
        </w:rPr>
        <w:t>大会开幕式</w:t>
      </w:r>
    </w:p>
    <w:p w14:paraId="5AE60F38" w14:textId="77777777" w:rsidR="00471A99" w:rsidRPr="0015662C" w:rsidRDefault="00471A99" w:rsidP="00471A99">
      <w:pPr>
        <w:numPr>
          <w:ilvl w:val="0"/>
          <w:numId w:val="3"/>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领导与嘉宾致辞</w:t>
      </w:r>
    </w:p>
    <w:p w14:paraId="46E2C0D8" w14:textId="77777777" w:rsidR="00471A99" w:rsidRPr="0015662C" w:rsidRDefault="00471A99" w:rsidP="00471A99">
      <w:pPr>
        <w:numPr>
          <w:ilvl w:val="0"/>
          <w:numId w:val="3"/>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2020年度《中国药学会医院用药监测报告》发布</w:t>
      </w:r>
    </w:p>
    <w:p w14:paraId="040CEEB9" w14:textId="77777777" w:rsidR="00471A99" w:rsidRPr="0015662C" w:rsidRDefault="00471A99" w:rsidP="00471A99">
      <w:pPr>
        <w:numPr>
          <w:ilvl w:val="0"/>
          <w:numId w:val="3"/>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2</w:t>
      </w:r>
      <w:r w:rsidRPr="0015662C">
        <w:rPr>
          <w:rFonts w:ascii="微软雅黑" w:eastAsia="微软雅黑" w:hAnsi="微软雅黑"/>
        </w:rPr>
        <w:t>020</w:t>
      </w:r>
      <w:r w:rsidRPr="0015662C">
        <w:rPr>
          <w:rFonts w:ascii="微软雅黑" w:eastAsia="微软雅黑" w:hAnsi="微软雅黑" w:hint="eastAsia"/>
        </w:rPr>
        <w:t>年度全国医药经济信息网工作总结汇报</w:t>
      </w:r>
    </w:p>
    <w:p w14:paraId="7F2ED0EC" w14:textId="77777777" w:rsidR="00471A99" w:rsidRPr="0015662C" w:rsidRDefault="00471A99" w:rsidP="00471A99">
      <w:pPr>
        <w:numPr>
          <w:ilvl w:val="0"/>
          <w:numId w:val="3"/>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2020年中国药学会优秀药师事迹宣传</w:t>
      </w:r>
    </w:p>
    <w:p w14:paraId="4211E3E6" w14:textId="77777777" w:rsidR="00471A99" w:rsidRPr="0015662C" w:rsidRDefault="00471A99" w:rsidP="00471A99">
      <w:pPr>
        <w:numPr>
          <w:ilvl w:val="0"/>
          <w:numId w:val="2"/>
        </w:numPr>
        <w:snapToGrid w:val="0"/>
        <w:spacing w:line="560" w:lineRule="exact"/>
        <w:rPr>
          <w:rFonts w:ascii="微软雅黑" w:eastAsia="微软雅黑" w:hAnsi="微软雅黑" w:hint="eastAsia"/>
        </w:rPr>
      </w:pPr>
      <w:r w:rsidRPr="0015662C">
        <w:rPr>
          <w:rFonts w:ascii="微软雅黑" w:eastAsia="微软雅黑" w:hAnsi="微软雅黑" w:hint="eastAsia"/>
        </w:rPr>
        <w:t>大会专题报告</w:t>
      </w:r>
    </w:p>
    <w:p w14:paraId="4360B344" w14:textId="77777777" w:rsidR="00471A99" w:rsidRPr="0015662C" w:rsidRDefault="00471A99" w:rsidP="00471A99">
      <w:pPr>
        <w:snapToGrid w:val="0"/>
        <w:spacing w:line="560" w:lineRule="exact"/>
        <w:ind w:firstLineChars="200" w:firstLine="440"/>
        <w:rPr>
          <w:rFonts w:ascii="微软雅黑" w:eastAsia="微软雅黑" w:hAnsi="微软雅黑" w:hint="eastAsia"/>
          <w:spacing w:val="-10"/>
        </w:rPr>
      </w:pPr>
      <w:r w:rsidRPr="0015662C">
        <w:rPr>
          <w:rFonts w:ascii="微软雅黑" w:eastAsia="微软雅黑" w:hAnsi="微软雅黑" w:hint="eastAsia"/>
          <w:spacing w:val="-10"/>
        </w:rPr>
        <w:t>国家热点药物政策解读。</w:t>
      </w:r>
    </w:p>
    <w:p w14:paraId="6FCA00D5" w14:textId="77777777" w:rsidR="00471A99" w:rsidRPr="0015662C" w:rsidRDefault="00471A99" w:rsidP="00471A99">
      <w:pPr>
        <w:pStyle w:val="a7"/>
        <w:numPr>
          <w:ilvl w:val="0"/>
          <w:numId w:val="1"/>
        </w:numPr>
        <w:spacing w:beforeLines="50" w:before="156" w:afterLines="50" w:after="156" w:line="560" w:lineRule="exact"/>
        <w:ind w:firstLineChars="0"/>
        <w:rPr>
          <w:rFonts w:ascii="微软雅黑" w:eastAsia="微软雅黑" w:hAnsi="微软雅黑" w:cs="黑体" w:hint="eastAsia"/>
          <w:sz w:val="24"/>
          <w:szCs w:val="24"/>
        </w:rPr>
      </w:pPr>
      <w:r w:rsidRPr="0015662C">
        <w:rPr>
          <w:rFonts w:ascii="微软雅黑" w:eastAsia="微软雅黑" w:hAnsi="微软雅黑" w:cs="黑体" w:hint="eastAsia"/>
          <w:sz w:val="24"/>
          <w:szCs w:val="24"/>
        </w:rPr>
        <w:t>学术分论坛</w:t>
      </w:r>
    </w:p>
    <w:p w14:paraId="338ED002" w14:textId="77777777" w:rsidR="00471A99" w:rsidRPr="0015662C" w:rsidRDefault="00471A99" w:rsidP="00471A99">
      <w:pPr>
        <w:numPr>
          <w:ilvl w:val="0"/>
          <w:numId w:val="4"/>
        </w:numPr>
        <w:snapToGrid w:val="0"/>
        <w:spacing w:line="560" w:lineRule="exact"/>
        <w:rPr>
          <w:rFonts w:ascii="微软雅黑" w:eastAsia="微软雅黑" w:hAnsi="微软雅黑" w:hint="eastAsia"/>
        </w:rPr>
      </w:pPr>
      <w:r w:rsidRPr="0015662C">
        <w:rPr>
          <w:rFonts w:ascii="微软雅黑" w:eastAsia="微软雅黑" w:hAnsi="微软雅黑" w:hint="eastAsia"/>
        </w:rPr>
        <w:t>医药政策高峰论坛（1</w:t>
      </w:r>
      <w:r w:rsidRPr="0015662C">
        <w:rPr>
          <w:rFonts w:ascii="微软雅黑" w:eastAsia="微软雅黑" w:hAnsi="微软雅黑"/>
        </w:rPr>
        <w:t>1</w:t>
      </w:r>
      <w:r w:rsidRPr="0015662C">
        <w:rPr>
          <w:rFonts w:ascii="微软雅黑" w:eastAsia="微软雅黑" w:hAnsi="微软雅黑" w:hint="eastAsia"/>
        </w:rPr>
        <w:t>月2</w:t>
      </w:r>
      <w:r w:rsidRPr="0015662C">
        <w:rPr>
          <w:rFonts w:ascii="微软雅黑" w:eastAsia="微软雅黑" w:hAnsi="微软雅黑"/>
        </w:rPr>
        <w:t>8</w:t>
      </w:r>
      <w:r w:rsidRPr="0015662C">
        <w:rPr>
          <w:rFonts w:ascii="微软雅黑" w:eastAsia="微软雅黑" w:hAnsi="微软雅黑" w:hint="eastAsia"/>
        </w:rPr>
        <w:t>日下午）</w:t>
      </w:r>
    </w:p>
    <w:p w14:paraId="08CEB479"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聚焦“十三五”收官与“十四五”开局，深研行业发展趋势与政策制度改革。论坛特邀国家工业和信息化部、国家卫生健康委员会、国家医疗保障局、国家药品监督管理局等部门相关领导就“十三五”的政策成效和“十四五”的规划方向等作专题报告。</w:t>
      </w:r>
    </w:p>
    <w:p w14:paraId="7CEE2DF7"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报告主题：</w:t>
      </w:r>
    </w:p>
    <w:p w14:paraId="58665CC8" w14:textId="77777777" w:rsidR="00471A99" w:rsidRPr="0015662C" w:rsidRDefault="00471A99" w:rsidP="00471A99">
      <w:pPr>
        <w:numPr>
          <w:ilvl w:val="0"/>
          <w:numId w:val="5"/>
        </w:numPr>
        <w:snapToGrid w:val="0"/>
        <w:spacing w:line="560" w:lineRule="exact"/>
        <w:rPr>
          <w:rFonts w:ascii="微软雅黑" w:eastAsia="微软雅黑" w:hAnsi="微软雅黑" w:hint="eastAsia"/>
        </w:rPr>
      </w:pPr>
      <w:r w:rsidRPr="0015662C">
        <w:rPr>
          <w:rFonts w:ascii="微软雅黑" w:eastAsia="微软雅黑" w:hAnsi="微软雅黑" w:hint="eastAsia"/>
        </w:rPr>
        <w:t>国家基本药物政策解读</w:t>
      </w:r>
    </w:p>
    <w:p w14:paraId="6A024ED4" w14:textId="77777777" w:rsidR="00471A99" w:rsidRPr="0015662C" w:rsidRDefault="00471A99" w:rsidP="00471A99">
      <w:pPr>
        <w:numPr>
          <w:ilvl w:val="0"/>
          <w:numId w:val="5"/>
        </w:numPr>
        <w:snapToGrid w:val="0"/>
        <w:spacing w:line="560" w:lineRule="exact"/>
        <w:rPr>
          <w:rFonts w:ascii="微软雅黑" w:eastAsia="微软雅黑" w:hAnsi="微软雅黑" w:hint="eastAsia"/>
        </w:rPr>
      </w:pPr>
      <w:r w:rsidRPr="0015662C">
        <w:rPr>
          <w:rFonts w:ascii="微软雅黑" w:eastAsia="微软雅黑" w:hAnsi="微软雅黑" w:hint="eastAsia"/>
        </w:rPr>
        <w:t>药物临床综合评价政策解读</w:t>
      </w:r>
    </w:p>
    <w:p w14:paraId="7597039D" w14:textId="77777777" w:rsidR="00471A99" w:rsidRPr="0015662C" w:rsidRDefault="00471A99" w:rsidP="00471A99">
      <w:pPr>
        <w:numPr>
          <w:ilvl w:val="0"/>
          <w:numId w:val="5"/>
        </w:numPr>
        <w:snapToGrid w:val="0"/>
        <w:spacing w:line="560" w:lineRule="exact"/>
        <w:rPr>
          <w:rFonts w:ascii="微软雅黑" w:eastAsia="微软雅黑" w:hAnsi="微软雅黑" w:hint="eastAsia"/>
        </w:rPr>
      </w:pPr>
      <w:r w:rsidRPr="0015662C">
        <w:rPr>
          <w:rFonts w:ascii="微软雅黑" w:eastAsia="微软雅黑" w:hAnsi="微软雅黑" w:hint="eastAsia"/>
        </w:rPr>
        <w:t>医药价格和招标采购政策解读</w:t>
      </w:r>
    </w:p>
    <w:p w14:paraId="3D728DC1" w14:textId="77777777" w:rsidR="00471A99" w:rsidRPr="0015662C" w:rsidRDefault="00471A99" w:rsidP="00471A99">
      <w:pPr>
        <w:numPr>
          <w:ilvl w:val="0"/>
          <w:numId w:val="5"/>
        </w:numPr>
        <w:snapToGrid w:val="0"/>
        <w:spacing w:line="560" w:lineRule="exact"/>
        <w:rPr>
          <w:rFonts w:ascii="微软雅黑" w:eastAsia="微软雅黑" w:hAnsi="微软雅黑" w:hint="eastAsia"/>
        </w:rPr>
      </w:pPr>
      <w:r w:rsidRPr="0015662C">
        <w:rPr>
          <w:rFonts w:ascii="微软雅黑" w:eastAsia="微软雅黑" w:hAnsi="微软雅黑" w:hint="eastAsia"/>
        </w:rPr>
        <w:t>医药代表登记备案管理办法解读</w:t>
      </w:r>
    </w:p>
    <w:p w14:paraId="6EB4F85B"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（闭门会议,报名方式另行通知。不接受现场报名，不进行网络直播。）</w:t>
      </w:r>
    </w:p>
    <w:p w14:paraId="2FA8B3B2" w14:textId="77777777" w:rsidR="00471A99" w:rsidRPr="0015662C" w:rsidRDefault="00471A99" w:rsidP="00471A99">
      <w:pPr>
        <w:numPr>
          <w:ilvl w:val="0"/>
          <w:numId w:val="4"/>
        </w:numPr>
        <w:snapToGrid w:val="0"/>
        <w:spacing w:line="560" w:lineRule="exact"/>
        <w:rPr>
          <w:rFonts w:ascii="微软雅黑" w:eastAsia="微软雅黑" w:hAnsi="微软雅黑" w:hint="eastAsia"/>
        </w:rPr>
      </w:pPr>
      <w:r w:rsidRPr="0015662C">
        <w:rPr>
          <w:rFonts w:ascii="微软雅黑" w:eastAsia="微软雅黑" w:hAnsi="微软雅黑" w:hint="eastAsia"/>
        </w:rPr>
        <w:t>第三届医药信息研究与利用研讨会（1</w:t>
      </w:r>
      <w:r w:rsidRPr="0015662C">
        <w:rPr>
          <w:rFonts w:ascii="微软雅黑" w:eastAsia="微软雅黑" w:hAnsi="微软雅黑"/>
        </w:rPr>
        <w:t>1</w:t>
      </w:r>
      <w:r w:rsidRPr="0015662C">
        <w:rPr>
          <w:rFonts w:ascii="微软雅黑" w:eastAsia="微软雅黑" w:hAnsi="微软雅黑" w:hint="eastAsia"/>
        </w:rPr>
        <w:t>月2</w:t>
      </w:r>
      <w:r w:rsidRPr="0015662C">
        <w:rPr>
          <w:rFonts w:ascii="微软雅黑" w:eastAsia="微软雅黑" w:hAnsi="微软雅黑"/>
        </w:rPr>
        <w:t>8</w:t>
      </w:r>
      <w:r w:rsidRPr="0015662C">
        <w:rPr>
          <w:rFonts w:ascii="微软雅黑" w:eastAsia="微软雅黑" w:hAnsi="微软雅黑" w:hint="eastAsia"/>
        </w:rPr>
        <w:t>日下午）</w:t>
      </w:r>
    </w:p>
    <w:p w14:paraId="76027838"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lastRenderedPageBreak/>
        <w:t>关注信息化技术新发展，推动医药管理领域应用与实践。聚焦当前药物政策、产业发展趋势、突发公共卫生事件的医药应急保障、信息化技术在医药管理领域的应用与发展。</w:t>
      </w:r>
    </w:p>
    <w:p w14:paraId="57CB0443"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报告主题：</w:t>
      </w:r>
    </w:p>
    <w:p w14:paraId="226F6B5D" w14:textId="77777777" w:rsidR="00471A99" w:rsidRPr="0015662C" w:rsidRDefault="00471A99" w:rsidP="00471A99">
      <w:pPr>
        <w:numPr>
          <w:ilvl w:val="0"/>
          <w:numId w:val="7"/>
        </w:numPr>
        <w:snapToGrid w:val="0"/>
        <w:spacing w:line="560" w:lineRule="exact"/>
        <w:ind w:left="0" w:firstLineChars="200" w:firstLine="440"/>
        <w:rPr>
          <w:rFonts w:ascii="微软雅黑" w:eastAsia="微软雅黑" w:hAnsi="微软雅黑" w:hint="eastAsia"/>
          <w:spacing w:val="-10"/>
        </w:rPr>
      </w:pPr>
      <w:r w:rsidRPr="0015662C">
        <w:rPr>
          <w:rFonts w:ascii="微软雅黑" w:eastAsia="微软雅黑" w:hAnsi="微软雅黑" w:hint="eastAsia"/>
          <w:spacing w:val="-10"/>
        </w:rPr>
        <w:t>基于全国医药经济信息网数据的医院药品价格监测研究进展</w:t>
      </w:r>
    </w:p>
    <w:p w14:paraId="27768D47" w14:textId="77777777" w:rsidR="00471A99" w:rsidRPr="0015662C" w:rsidRDefault="00471A99" w:rsidP="00471A99">
      <w:pPr>
        <w:numPr>
          <w:ilvl w:val="0"/>
          <w:numId w:val="7"/>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基于大数据的中国医药产业发展形势分析</w:t>
      </w:r>
    </w:p>
    <w:p w14:paraId="0A16A301" w14:textId="77777777" w:rsidR="00471A99" w:rsidRPr="0015662C" w:rsidRDefault="00471A99" w:rsidP="00471A99">
      <w:pPr>
        <w:numPr>
          <w:ilvl w:val="0"/>
          <w:numId w:val="7"/>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国外医药数据信息研究与进展</w:t>
      </w:r>
    </w:p>
    <w:p w14:paraId="21781869" w14:textId="77777777" w:rsidR="00471A99" w:rsidRPr="0015662C" w:rsidRDefault="00471A99" w:rsidP="00471A99">
      <w:pPr>
        <w:numPr>
          <w:ilvl w:val="0"/>
          <w:numId w:val="7"/>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世界卫生组织资格预审及中国医药产品申报和通过资格预审情况介绍</w:t>
      </w:r>
    </w:p>
    <w:p w14:paraId="174D2CB8" w14:textId="77777777" w:rsidR="00471A99" w:rsidRPr="0015662C" w:rsidRDefault="00471A99" w:rsidP="00471A99">
      <w:pPr>
        <w:numPr>
          <w:ilvl w:val="0"/>
          <w:numId w:val="7"/>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医药大数据挖掘方法、技术应用与成效</w:t>
      </w:r>
    </w:p>
    <w:p w14:paraId="06B947A5" w14:textId="77777777" w:rsidR="00471A99" w:rsidRPr="0015662C" w:rsidRDefault="00471A99" w:rsidP="00471A99">
      <w:pPr>
        <w:numPr>
          <w:ilvl w:val="0"/>
          <w:numId w:val="4"/>
        </w:numPr>
        <w:snapToGrid w:val="0"/>
        <w:spacing w:line="560" w:lineRule="exact"/>
        <w:rPr>
          <w:rFonts w:ascii="微软雅黑" w:eastAsia="微软雅黑" w:hAnsi="微软雅黑" w:hint="eastAsia"/>
        </w:rPr>
      </w:pPr>
      <w:r w:rsidRPr="0015662C">
        <w:rPr>
          <w:rFonts w:ascii="微软雅黑" w:eastAsia="微软雅黑" w:hAnsi="微软雅黑" w:hint="eastAsia"/>
        </w:rPr>
        <w:t>药物治疗前沿创新发展论坛（1</w:t>
      </w:r>
      <w:r w:rsidRPr="0015662C">
        <w:rPr>
          <w:rFonts w:ascii="微软雅黑" w:eastAsia="微软雅黑" w:hAnsi="微软雅黑"/>
        </w:rPr>
        <w:t>1</w:t>
      </w:r>
      <w:r w:rsidRPr="0015662C">
        <w:rPr>
          <w:rFonts w:ascii="微软雅黑" w:eastAsia="微软雅黑" w:hAnsi="微软雅黑" w:hint="eastAsia"/>
        </w:rPr>
        <w:t>月2</w:t>
      </w:r>
      <w:r w:rsidRPr="0015662C">
        <w:rPr>
          <w:rFonts w:ascii="微软雅黑" w:eastAsia="微软雅黑" w:hAnsi="微软雅黑"/>
        </w:rPr>
        <w:t>8</w:t>
      </w:r>
      <w:r w:rsidRPr="0015662C">
        <w:rPr>
          <w:rFonts w:ascii="微软雅黑" w:eastAsia="微软雅黑" w:hAnsi="微软雅黑" w:hint="eastAsia"/>
        </w:rPr>
        <w:t>日下午）</w:t>
      </w:r>
    </w:p>
    <w:p w14:paraId="0CFE2C48"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关注全球</w:t>
      </w:r>
      <w:proofErr w:type="gramStart"/>
      <w:r w:rsidRPr="0015662C">
        <w:rPr>
          <w:rFonts w:ascii="微软雅黑" w:eastAsia="微软雅黑" w:hAnsi="微软雅黑" w:hint="eastAsia"/>
        </w:rPr>
        <w:t>年度获</w:t>
      </w:r>
      <w:proofErr w:type="gramEnd"/>
      <w:r w:rsidRPr="0015662C">
        <w:rPr>
          <w:rFonts w:ascii="微软雅黑" w:eastAsia="微软雅黑" w:hAnsi="微软雅黑" w:hint="eastAsia"/>
        </w:rPr>
        <w:t>批上市新药，邀请相关领域专家从研发、临床、药物治疗等不同视角，共同探讨医药创新为临床治疗领域带来的变革和影响。</w:t>
      </w:r>
    </w:p>
    <w:p w14:paraId="0DF5877F"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报告主题：</w:t>
      </w:r>
    </w:p>
    <w:p w14:paraId="1F5BD59A" w14:textId="77777777" w:rsidR="00471A99" w:rsidRPr="0015662C" w:rsidRDefault="00471A99" w:rsidP="00471A99">
      <w:pPr>
        <w:numPr>
          <w:ilvl w:val="0"/>
          <w:numId w:val="13"/>
        </w:numPr>
        <w:snapToGrid w:val="0"/>
        <w:spacing w:line="560" w:lineRule="exact"/>
        <w:rPr>
          <w:rFonts w:ascii="微软雅黑" w:eastAsia="微软雅黑" w:hAnsi="微软雅黑" w:hint="eastAsia"/>
        </w:rPr>
      </w:pPr>
      <w:r w:rsidRPr="0015662C">
        <w:rPr>
          <w:rFonts w:ascii="微软雅黑" w:eastAsia="微软雅黑" w:hAnsi="微软雅黑" w:hint="eastAsia"/>
        </w:rPr>
        <w:t>2020年全球新药审批情况梳理</w:t>
      </w:r>
    </w:p>
    <w:p w14:paraId="211E2CD8" w14:textId="77777777" w:rsidR="00471A99" w:rsidRPr="0015662C" w:rsidRDefault="00471A99" w:rsidP="00471A99">
      <w:pPr>
        <w:numPr>
          <w:ilvl w:val="0"/>
          <w:numId w:val="13"/>
        </w:numPr>
        <w:snapToGrid w:val="0"/>
        <w:spacing w:line="560" w:lineRule="exact"/>
        <w:rPr>
          <w:rFonts w:ascii="微软雅黑" w:eastAsia="微软雅黑" w:hAnsi="微软雅黑" w:hint="eastAsia"/>
        </w:rPr>
      </w:pPr>
      <w:r w:rsidRPr="0015662C">
        <w:rPr>
          <w:rFonts w:ascii="微软雅黑" w:eastAsia="微软雅黑" w:hAnsi="微软雅黑" w:hint="eastAsia"/>
        </w:rPr>
        <w:t>多</w:t>
      </w:r>
      <w:r w:rsidRPr="0015662C">
        <w:rPr>
          <w:rFonts w:ascii="微软雅黑" w:eastAsia="微软雅黑" w:hAnsi="微软雅黑"/>
        </w:rPr>
        <w:t>肽</w:t>
      </w:r>
      <w:r w:rsidRPr="0015662C">
        <w:rPr>
          <w:rFonts w:ascii="微软雅黑" w:eastAsia="微软雅黑" w:hAnsi="微软雅黑" w:hint="eastAsia"/>
        </w:rPr>
        <w:t>纳米药物最新发展研究</w:t>
      </w:r>
    </w:p>
    <w:p w14:paraId="1DAB2147" w14:textId="77777777" w:rsidR="00471A99" w:rsidRPr="0015662C" w:rsidRDefault="00471A99" w:rsidP="00471A99">
      <w:pPr>
        <w:numPr>
          <w:ilvl w:val="0"/>
          <w:numId w:val="13"/>
        </w:numPr>
        <w:snapToGrid w:val="0"/>
        <w:spacing w:line="560" w:lineRule="exact"/>
        <w:rPr>
          <w:rFonts w:ascii="微软雅黑" w:eastAsia="微软雅黑" w:hAnsi="微软雅黑" w:hint="eastAsia"/>
        </w:rPr>
      </w:pPr>
      <w:r w:rsidRPr="0015662C">
        <w:rPr>
          <w:rFonts w:ascii="微软雅黑" w:eastAsia="微软雅黑" w:hAnsi="微软雅黑" w:hint="eastAsia"/>
        </w:rPr>
        <w:t>药物创新思考：细胞药物研发，助力健康中国建设</w:t>
      </w:r>
    </w:p>
    <w:p w14:paraId="49286D38" w14:textId="77777777" w:rsidR="00471A99" w:rsidRPr="0015662C" w:rsidRDefault="00471A99" w:rsidP="00471A99">
      <w:pPr>
        <w:numPr>
          <w:ilvl w:val="0"/>
          <w:numId w:val="4"/>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w:t>
      </w:r>
      <w:r w:rsidRPr="0015662C">
        <w:rPr>
          <w:rFonts w:ascii="微软雅黑" w:eastAsia="微软雅黑" w:hAnsi="微软雅黑"/>
        </w:rPr>
        <w:t>安全</w:t>
      </w:r>
      <w:r w:rsidRPr="0015662C">
        <w:rPr>
          <w:rFonts w:ascii="微软雅黑" w:eastAsia="微软雅黑" w:hAnsi="微软雅黑" w:hint="eastAsia"/>
        </w:rPr>
        <w:t>用</w:t>
      </w:r>
      <w:r w:rsidRPr="0015662C">
        <w:rPr>
          <w:rFonts w:ascii="微软雅黑" w:eastAsia="微软雅黑" w:hAnsi="微软雅黑"/>
        </w:rPr>
        <w:t>药</w:t>
      </w:r>
      <w:r w:rsidRPr="0015662C">
        <w:rPr>
          <w:rFonts w:ascii="微软雅黑" w:eastAsia="微软雅黑" w:hAnsi="微软雅黑" w:hint="eastAsia"/>
        </w:rPr>
        <w:t xml:space="preserve"> 战</w:t>
      </w:r>
      <w:proofErr w:type="gramStart"/>
      <w:r w:rsidRPr="0015662C">
        <w:rPr>
          <w:rFonts w:ascii="微软雅黑" w:eastAsia="微软雅黑" w:hAnsi="微软雅黑" w:hint="eastAsia"/>
        </w:rPr>
        <w:t>疫</w:t>
      </w:r>
      <w:proofErr w:type="gramEnd"/>
      <w:r w:rsidRPr="0015662C">
        <w:rPr>
          <w:rFonts w:ascii="微软雅黑" w:eastAsia="微软雅黑" w:hAnsi="微软雅黑" w:hint="eastAsia"/>
        </w:rPr>
        <w:t>同</w:t>
      </w:r>
      <w:r w:rsidRPr="0015662C">
        <w:rPr>
          <w:rFonts w:ascii="微软雅黑" w:eastAsia="微软雅黑" w:hAnsi="微软雅黑"/>
        </w:rPr>
        <w:t>行”——</w:t>
      </w:r>
      <w:r w:rsidRPr="0015662C">
        <w:rPr>
          <w:rFonts w:ascii="微软雅黑" w:eastAsia="微软雅黑" w:hAnsi="微软雅黑" w:hint="eastAsia"/>
        </w:rPr>
        <w:t>科学传播论坛（1</w:t>
      </w:r>
      <w:r w:rsidRPr="0015662C">
        <w:rPr>
          <w:rFonts w:ascii="微软雅黑" w:eastAsia="微软雅黑" w:hAnsi="微软雅黑"/>
        </w:rPr>
        <w:t>1</w:t>
      </w:r>
      <w:r w:rsidRPr="0015662C">
        <w:rPr>
          <w:rFonts w:ascii="微软雅黑" w:eastAsia="微软雅黑" w:hAnsi="微软雅黑" w:hint="eastAsia"/>
        </w:rPr>
        <w:t>月2</w:t>
      </w:r>
      <w:r w:rsidRPr="0015662C">
        <w:rPr>
          <w:rFonts w:ascii="微软雅黑" w:eastAsia="微软雅黑" w:hAnsi="微软雅黑"/>
        </w:rPr>
        <w:t>8</w:t>
      </w:r>
      <w:r w:rsidRPr="0015662C">
        <w:rPr>
          <w:rFonts w:ascii="微软雅黑" w:eastAsia="微软雅黑" w:hAnsi="微软雅黑" w:hint="eastAsia"/>
        </w:rPr>
        <w:t>日下午）</w:t>
      </w:r>
    </w:p>
    <w:p w14:paraId="2EF2E1AD"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聚焦医药健康领域的科学传播，联动医学、药学、传播学等领域的专家学者，就突发公共卫生事件下及日常生活中的科普功能与机制、医药卫生类谣言的破解技术和方法、5G技术下的医药信息传播模式和特点、医院外药学服务模式等进行跨界交流和学术探讨。</w:t>
      </w:r>
    </w:p>
    <w:p w14:paraId="36C865A4"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论坛议程：</w:t>
      </w:r>
    </w:p>
    <w:p w14:paraId="40F01C78" w14:textId="77777777" w:rsidR="00471A99" w:rsidRPr="0015662C" w:rsidRDefault="00471A99" w:rsidP="00471A99">
      <w:pPr>
        <w:numPr>
          <w:ilvl w:val="0"/>
          <w:numId w:val="8"/>
        </w:numPr>
        <w:snapToGrid w:val="0"/>
        <w:spacing w:line="560" w:lineRule="exact"/>
        <w:rPr>
          <w:rFonts w:ascii="微软雅黑" w:eastAsia="微软雅黑" w:hAnsi="微软雅黑" w:hint="eastAsia"/>
        </w:rPr>
      </w:pPr>
      <w:r w:rsidRPr="0015662C">
        <w:rPr>
          <w:rFonts w:ascii="微软雅黑" w:eastAsia="微软雅黑" w:hAnsi="微软雅黑" w:hint="eastAsia"/>
        </w:rPr>
        <w:t>“论道”</w:t>
      </w:r>
      <w:r w:rsidRPr="0015662C">
        <w:rPr>
          <w:rFonts w:ascii="微软雅黑" w:eastAsia="微软雅黑" w:hAnsi="微软雅黑"/>
        </w:rPr>
        <w:t>——</w:t>
      </w:r>
      <w:r w:rsidRPr="0015662C">
        <w:rPr>
          <w:rFonts w:ascii="微软雅黑" w:eastAsia="微软雅黑" w:hAnsi="微软雅黑" w:hint="eastAsia"/>
        </w:rPr>
        <w:t>科学传播论坛</w:t>
      </w:r>
    </w:p>
    <w:p w14:paraId="568103E8" w14:textId="77777777" w:rsidR="00471A99" w:rsidRPr="0015662C" w:rsidRDefault="00471A99" w:rsidP="00471A99">
      <w:pPr>
        <w:numPr>
          <w:ilvl w:val="0"/>
          <w:numId w:val="8"/>
        </w:numPr>
        <w:snapToGrid w:val="0"/>
        <w:spacing w:line="560" w:lineRule="exact"/>
        <w:rPr>
          <w:rFonts w:ascii="微软雅黑" w:eastAsia="微软雅黑" w:hAnsi="微软雅黑" w:hint="eastAsia"/>
        </w:rPr>
      </w:pPr>
      <w:r w:rsidRPr="0015662C">
        <w:rPr>
          <w:rFonts w:ascii="微软雅黑" w:eastAsia="微软雅黑" w:hAnsi="微软雅黑" w:hint="eastAsia"/>
        </w:rPr>
        <w:t>科学传播青年论坛</w:t>
      </w:r>
    </w:p>
    <w:p w14:paraId="2E7FACBB" w14:textId="77777777" w:rsidR="00471A99" w:rsidRPr="0015662C" w:rsidRDefault="00471A99" w:rsidP="00471A99">
      <w:pPr>
        <w:snapToGrid w:val="0"/>
        <w:spacing w:line="560" w:lineRule="exact"/>
        <w:ind w:firstLineChars="200" w:firstLine="480"/>
        <w:rPr>
          <w:rFonts w:ascii="微软雅黑" w:eastAsia="微软雅黑" w:hAnsi="微软雅黑" w:hint="eastAsia"/>
        </w:rPr>
      </w:pPr>
      <w:r w:rsidRPr="0015662C">
        <w:rPr>
          <w:rFonts w:ascii="微软雅黑" w:eastAsia="微软雅黑" w:hAnsi="微软雅黑" w:hint="eastAsia"/>
        </w:rPr>
        <w:lastRenderedPageBreak/>
        <w:t>（1）药师对慢性心力衰竭患者干预效果的研究</w:t>
      </w:r>
    </w:p>
    <w:p w14:paraId="7312466A" w14:textId="77777777" w:rsidR="00471A99" w:rsidRPr="0015662C" w:rsidRDefault="00471A99" w:rsidP="00471A99">
      <w:pPr>
        <w:snapToGrid w:val="0"/>
        <w:spacing w:line="560" w:lineRule="exact"/>
        <w:ind w:firstLineChars="200" w:firstLine="480"/>
        <w:rPr>
          <w:rFonts w:ascii="微软雅黑" w:eastAsia="微软雅黑" w:hAnsi="微软雅黑" w:hint="eastAsia"/>
        </w:rPr>
      </w:pPr>
      <w:r w:rsidRPr="0015662C">
        <w:rPr>
          <w:rFonts w:ascii="微软雅黑" w:eastAsia="微软雅黑" w:hAnsi="微软雅黑" w:hint="eastAsia"/>
        </w:rPr>
        <w:t>（2）</w:t>
      </w:r>
      <w:r w:rsidRPr="0015662C">
        <w:rPr>
          <w:rFonts w:ascii="微软雅黑" w:eastAsia="微软雅黑" w:hAnsi="微软雅黑" w:hint="eastAsia"/>
          <w:spacing w:val="-10"/>
        </w:rPr>
        <w:t>系统性红斑狼疮儿科人群综合药物管理及效果评价研究</w:t>
      </w:r>
    </w:p>
    <w:p w14:paraId="1F245176" w14:textId="77777777" w:rsidR="00471A99" w:rsidRPr="0015662C" w:rsidRDefault="00471A99" w:rsidP="00471A99">
      <w:pPr>
        <w:snapToGrid w:val="0"/>
        <w:spacing w:line="560" w:lineRule="exact"/>
        <w:ind w:firstLineChars="200" w:firstLine="480"/>
        <w:rPr>
          <w:rFonts w:ascii="微软雅黑" w:eastAsia="微软雅黑" w:hAnsi="微软雅黑" w:hint="eastAsia"/>
        </w:rPr>
      </w:pPr>
      <w:r w:rsidRPr="0015662C">
        <w:rPr>
          <w:rFonts w:ascii="微软雅黑" w:eastAsia="微软雅黑" w:hAnsi="微软雅黑" w:hint="eastAsia"/>
        </w:rPr>
        <w:t>（3）基于PRECEDE模式分析妊娠合并甲状腺功能减退患者用药行为影响因素</w:t>
      </w:r>
    </w:p>
    <w:p w14:paraId="4F55E692" w14:textId="77777777" w:rsidR="00471A99" w:rsidRPr="0015662C" w:rsidRDefault="00471A99" w:rsidP="00471A99">
      <w:pPr>
        <w:numPr>
          <w:ilvl w:val="0"/>
          <w:numId w:val="8"/>
        </w:numPr>
        <w:snapToGrid w:val="0"/>
        <w:spacing w:line="560" w:lineRule="exact"/>
        <w:rPr>
          <w:rFonts w:ascii="微软雅黑" w:eastAsia="微软雅黑" w:hAnsi="微软雅黑" w:hint="eastAsia"/>
        </w:rPr>
      </w:pPr>
      <w:r w:rsidRPr="0015662C">
        <w:rPr>
          <w:rFonts w:ascii="微软雅黑" w:eastAsia="微软雅黑" w:hAnsi="微软雅黑" w:hint="eastAsia"/>
        </w:rPr>
        <w:t>发布《2021年科普研究课题指南》</w:t>
      </w:r>
    </w:p>
    <w:p w14:paraId="2D7B4C8D" w14:textId="77777777" w:rsidR="00471A99" w:rsidRPr="0015662C" w:rsidRDefault="00471A99" w:rsidP="00471A99">
      <w:pPr>
        <w:numPr>
          <w:ilvl w:val="0"/>
          <w:numId w:val="4"/>
        </w:numPr>
        <w:snapToGrid w:val="0"/>
        <w:spacing w:line="560" w:lineRule="exact"/>
        <w:rPr>
          <w:rFonts w:ascii="微软雅黑" w:eastAsia="微软雅黑" w:hAnsi="微软雅黑" w:hint="eastAsia"/>
        </w:rPr>
      </w:pPr>
      <w:r w:rsidRPr="0015662C">
        <w:rPr>
          <w:rFonts w:ascii="微软雅黑" w:eastAsia="微软雅黑" w:hAnsi="微软雅黑" w:hint="eastAsia"/>
        </w:rPr>
        <w:t>战</w:t>
      </w:r>
      <w:proofErr w:type="gramStart"/>
      <w:r w:rsidRPr="0015662C">
        <w:rPr>
          <w:rFonts w:ascii="微软雅黑" w:eastAsia="微软雅黑" w:hAnsi="微软雅黑" w:hint="eastAsia"/>
        </w:rPr>
        <w:t>疫</w:t>
      </w:r>
      <w:proofErr w:type="gramEnd"/>
      <w:r w:rsidRPr="0015662C">
        <w:rPr>
          <w:rFonts w:ascii="微软雅黑" w:eastAsia="微软雅黑" w:hAnsi="微软雅黑" w:hint="eastAsia"/>
        </w:rPr>
        <w:t>烽火论坛（1</w:t>
      </w:r>
      <w:r w:rsidRPr="0015662C">
        <w:rPr>
          <w:rFonts w:ascii="微软雅黑" w:eastAsia="微软雅黑" w:hAnsi="微软雅黑"/>
        </w:rPr>
        <w:t>1</w:t>
      </w:r>
      <w:r w:rsidRPr="0015662C">
        <w:rPr>
          <w:rFonts w:ascii="微软雅黑" w:eastAsia="微软雅黑" w:hAnsi="微软雅黑" w:hint="eastAsia"/>
        </w:rPr>
        <w:t>月2</w:t>
      </w:r>
      <w:r w:rsidRPr="0015662C">
        <w:rPr>
          <w:rFonts w:ascii="微软雅黑" w:eastAsia="微软雅黑" w:hAnsi="微软雅黑"/>
        </w:rPr>
        <w:t>9</w:t>
      </w:r>
      <w:r w:rsidRPr="0015662C">
        <w:rPr>
          <w:rFonts w:ascii="微软雅黑" w:eastAsia="微软雅黑" w:hAnsi="微软雅黑" w:hint="eastAsia"/>
        </w:rPr>
        <w:t>日上午）</w:t>
      </w:r>
    </w:p>
    <w:p w14:paraId="6E348B12"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邀请知名专家，就全球新冠病毒的检测诊断与治疗、新冠肺炎防治相关前沿技术进行交流，共同探讨新理论、新方法、新技术、新观念在新冠肺炎防治中带来的机遇和挑战。</w:t>
      </w:r>
    </w:p>
    <w:p w14:paraId="70C8272D"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报告主题：</w:t>
      </w:r>
    </w:p>
    <w:p w14:paraId="4993CA14" w14:textId="77777777" w:rsidR="00471A99" w:rsidRPr="0015662C" w:rsidRDefault="00471A99" w:rsidP="00471A99">
      <w:pPr>
        <w:numPr>
          <w:ilvl w:val="0"/>
          <w:numId w:val="6"/>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面对新冠疫情，医药战线的应对策略</w:t>
      </w:r>
    </w:p>
    <w:p w14:paraId="45BC4E49" w14:textId="77777777" w:rsidR="00471A99" w:rsidRPr="0015662C" w:rsidRDefault="00471A99" w:rsidP="00471A99">
      <w:pPr>
        <w:numPr>
          <w:ilvl w:val="0"/>
          <w:numId w:val="6"/>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与时间赛跑</w:t>
      </w:r>
      <w:r w:rsidRPr="0015662C">
        <w:rPr>
          <w:rFonts w:ascii="微软雅黑" w:eastAsia="微软雅黑" w:hAnsi="微软雅黑"/>
        </w:rPr>
        <w:t xml:space="preserve"> </w:t>
      </w:r>
      <w:r w:rsidRPr="0015662C">
        <w:rPr>
          <w:rFonts w:ascii="微软雅黑" w:eastAsia="微软雅黑" w:hAnsi="微软雅黑" w:hint="eastAsia"/>
        </w:rPr>
        <w:t>与</w:t>
      </w:r>
      <w:proofErr w:type="gramStart"/>
      <w:r w:rsidRPr="0015662C">
        <w:rPr>
          <w:rFonts w:ascii="微软雅黑" w:eastAsia="微软雅黑" w:hAnsi="微软雅黑" w:hint="eastAsia"/>
        </w:rPr>
        <w:t>死神争命</w:t>
      </w:r>
      <w:proofErr w:type="gramEnd"/>
      <w:r w:rsidRPr="0015662C">
        <w:rPr>
          <w:rFonts w:ascii="微软雅黑" w:eastAsia="微软雅黑" w:hAnsi="微软雅黑"/>
        </w:rPr>
        <w:t>——</w:t>
      </w:r>
      <w:r w:rsidRPr="0015662C">
        <w:rPr>
          <w:rFonts w:ascii="微软雅黑" w:eastAsia="微软雅黑" w:hAnsi="微软雅黑" w:hint="eastAsia"/>
        </w:rPr>
        <w:t>新冠肺炎重症患者抢救经验分享</w:t>
      </w:r>
    </w:p>
    <w:p w14:paraId="64142B5F" w14:textId="77777777" w:rsidR="00471A99" w:rsidRPr="0015662C" w:rsidRDefault="00471A99" w:rsidP="00471A99">
      <w:pPr>
        <w:numPr>
          <w:ilvl w:val="0"/>
          <w:numId w:val="6"/>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新冠肺炎药物、疫苗研发进展</w:t>
      </w:r>
    </w:p>
    <w:p w14:paraId="74D0C814" w14:textId="77777777" w:rsidR="00471A99" w:rsidRPr="0015662C" w:rsidRDefault="00471A99" w:rsidP="00471A99">
      <w:pPr>
        <w:numPr>
          <w:ilvl w:val="0"/>
          <w:numId w:val="6"/>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新冠疫情下的应急保供研究</w:t>
      </w:r>
    </w:p>
    <w:p w14:paraId="0898AF0A" w14:textId="77777777" w:rsidR="00471A99" w:rsidRPr="0015662C" w:rsidRDefault="00471A99" w:rsidP="00471A99">
      <w:pPr>
        <w:numPr>
          <w:ilvl w:val="0"/>
          <w:numId w:val="4"/>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论剑</w:t>
      </w:r>
      <w:r w:rsidRPr="0015662C">
        <w:rPr>
          <w:rFonts w:ascii="微软雅黑" w:eastAsia="微软雅黑" w:hAnsi="微软雅黑"/>
        </w:rPr>
        <w:t>——</w:t>
      </w:r>
      <w:r w:rsidRPr="0015662C">
        <w:rPr>
          <w:rFonts w:ascii="微软雅黑" w:eastAsia="微软雅黑" w:hAnsi="微软雅黑" w:hint="eastAsia"/>
        </w:rPr>
        <w:t>药学服务经典案例分享交流（1</w:t>
      </w:r>
      <w:r w:rsidRPr="0015662C">
        <w:rPr>
          <w:rFonts w:ascii="微软雅黑" w:eastAsia="微软雅黑" w:hAnsi="微软雅黑"/>
        </w:rPr>
        <w:t>1</w:t>
      </w:r>
      <w:r w:rsidRPr="0015662C">
        <w:rPr>
          <w:rFonts w:ascii="微软雅黑" w:eastAsia="微软雅黑" w:hAnsi="微软雅黑" w:hint="eastAsia"/>
        </w:rPr>
        <w:t>月2</w:t>
      </w:r>
      <w:r w:rsidRPr="0015662C">
        <w:rPr>
          <w:rFonts w:ascii="微软雅黑" w:eastAsia="微软雅黑" w:hAnsi="微软雅黑"/>
        </w:rPr>
        <w:t>9</w:t>
      </w:r>
      <w:r w:rsidRPr="0015662C">
        <w:rPr>
          <w:rFonts w:ascii="微软雅黑" w:eastAsia="微软雅黑" w:hAnsi="微软雅黑" w:hint="eastAsia"/>
        </w:rPr>
        <w:t>日上午）</w:t>
      </w:r>
    </w:p>
    <w:p w14:paraId="647FCB34"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在全国范围征集医院药学服务的案例，并进行遴选。通过案例征集活动深入研讨药学服务的创新模式，拓宽药学服务新领域，助推药学学科发展。案例选题涉及创新药学服务模式、提高药学服务质量、加强公众健康管理、临床药学经典案例分析、药物不良反应和相互作用等</w:t>
      </w:r>
      <w:r w:rsidRPr="0015662C">
        <w:rPr>
          <w:rFonts w:ascii="微软雅黑" w:eastAsia="微软雅黑" w:hAnsi="微软雅黑"/>
        </w:rPr>
        <w:t>五</w:t>
      </w:r>
      <w:r w:rsidRPr="0015662C">
        <w:rPr>
          <w:rFonts w:ascii="微软雅黑" w:eastAsia="微软雅黑" w:hAnsi="微软雅黑" w:hint="eastAsia"/>
        </w:rPr>
        <w:t>个方面。</w:t>
      </w:r>
    </w:p>
    <w:p w14:paraId="15A3690D"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论坛议程：</w:t>
      </w:r>
    </w:p>
    <w:p w14:paraId="3901E56D" w14:textId="77777777" w:rsidR="00471A99" w:rsidRPr="0015662C" w:rsidRDefault="00471A99" w:rsidP="00471A99">
      <w:pPr>
        <w:numPr>
          <w:ilvl w:val="0"/>
          <w:numId w:val="9"/>
        </w:numPr>
        <w:snapToGrid w:val="0"/>
        <w:spacing w:line="560" w:lineRule="exact"/>
        <w:rPr>
          <w:rFonts w:ascii="微软雅黑" w:eastAsia="微软雅黑" w:hAnsi="微软雅黑" w:hint="eastAsia"/>
        </w:rPr>
      </w:pPr>
      <w:r w:rsidRPr="0015662C">
        <w:rPr>
          <w:rFonts w:ascii="微软雅黑" w:eastAsia="微软雅黑" w:hAnsi="微软雅黑" w:hint="eastAsia"/>
        </w:rPr>
        <w:t>药学服务经典案例分享交流</w:t>
      </w:r>
    </w:p>
    <w:p w14:paraId="18CB47F0" w14:textId="77777777"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“360风险防范”药学服务能力培养创新模式构建与实施</w:t>
      </w:r>
    </w:p>
    <w:p w14:paraId="499384A6" w14:textId="77777777"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围绝经期合并乳腺良性增生性疾病患者全程化药学服务</w:t>
      </w:r>
      <w:r w:rsidRPr="0015662C">
        <w:rPr>
          <w:rFonts w:ascii="微软雅黑" w:eastAsia="微软雅黑" w:hAnsi="微软雅黑"/>
          <w:bCs/>
          <w:sz w:val="24"/>
          <w:szCs w:val="24"/>
        </w:rPr>
        <w:t>——</w:t>
      </w:r>
      <w:r w:rsidRPr="0015662C">
        <w:rPr>
          <w:rFonts w:ascii="微软雅黑" w:eastAsia="微软雅黑" w:hAnsi="微软雅黑" w:cs="仿宋" w:hint="eastAsia"/>
          <w:bCs/>
          <w:sz w:val="24"/>
          <w:szCs w:val="24"/>
        </w:rPr>
        <w:t>更年期联合门诊实践与创新</w:t>
      </w:r>
    </w:p>
    <w:p w14:paraId="3B54B291" w14:textId="77777777"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lastRenderedPageBreak/>
        <w:t>“聚合、联动、共赢”</w:t>
      </w:r>
      <w:r w:rsidRPr="0015662C">
        <w:rPr>
          <w:rFonts w:ascii="微软雅黑" w:eastAsia="微软雅黑" w:hAnsi="微软雅黑"/>
          <w:bCs/>
          <w:sz w:val="24"/>
          <w:szCs w:val="24"/>
        </w:rPr>
        <w:t>——</w:t>
      </w:r>
      <w:r w:rsidRPr="0015662C">
        <w:rPr>
          <w:rFonts w:ascii="微软雅黑" w:eastAsia="微软雅黑" w:hAnsi="微软雅黑" w:cs="仿宋" w:hint="eastAsia"/>
          <w:bCs/>
          <w:sz w:val="24"/>
          <w:szCs w:val="24"/>
        </w:rPr>
        <w:t>以药学联盟为平台，推进医院药学服务发展</w:t>
      </w:r>
    </w:p>
    <w:p w14:paraId="3B532B7C" w14:textId="77777777"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乳腺肿瘤患者全员全程化药学服务</w:t>
      </w:r>
    </w:p>
    <w:p w14:paraId="00B8007A" w14:textId="77777777"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江西省儿童医疗联盟药学服务综合平台</w:t>
      </w:r>
    </w:p>
    <w:p w14:paraId="2DF7064A" w14:textId="77777777"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基于条形码技术（BCMA）在基层医院急诊药房管理系统的研究和应用</w:t>
      </w:r>
    </w:p>
    <w:p w14:paraId="78B900AC" w14:textId="63C905B0"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proofErr w:type="gramStart"/>
      <w:r w:rsidRPr="0015662C">
        <w:rPr>
          <w:rFonts w:ascii="微软雅黑" w:eastAsia="微软雅黑" w:hAnsi="微软雅黑" w:cs="仿宋" w:hint="eastAsia"/>
          <w:bCs/>
          <w:sz w:val="24"/>
          <w:szCs w:val="24"/>
        </w:rPr>
        <w:t>药享健康</w:t>
      </w:r>
      <w:proofErr w:type="gramEnd"/>
      <w:r w:rsidRPr="0015662C">
        <w:rPr>
          <w:rFonts w:ascii="微软雅黑" w:eastAsia="微软雅黑" w:hAnsi="微软雅黑" w:cs="仿宋" w:hint="eastAsia"/>
          <w:bCs/>
          <w:sz w:val="24"/>
          <w:szCs w:val="24"/>
        </w:rPr>
        <w:t>，构建用药</w:t>
      </w:r>
      <w:r w:rsidR="00B20C36">
        <w:rPr>
          <w:rFonts w:ascii="微软雅黑" w:eastAsia="微软雅黑" w:hAnsi="微软雅黑" w:cs="仿宋" w:hint="eastAsia"/>
          <w:bCs/>
          <w:sz w:val="24"/>
          <w:szCs w:val="24"/>
        </w:rPr>
        <w:t>交代</w:t>
      </w:r>
      <w:r w:rsidRPr="0015662C">
        <w:rPr>
          <w:rFonts w:ascii="微软雅黑" w:eastAsia="微软雅黑" w:hAnsi="微软雅黑" w:cs="仿宋" w:hint="eastAsia"/>
          <w:bCs/>
          <w:sz w:val="24"/>
          <w:szCs w:val="24"/>
        </w:rPr>
        <w:t>多级多维体系</w:t>
      </w:r>
    </w:p>
    <w:p w14:paraId="6C5BD03D" w14:textId="77777777"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有“备”也无患</w:t>
      </w:r>
      <w:r w:rsidRPr="0015662C">
        <w:rPr>
          <w:rFonts w:ascii="微软雅黑" w:eastAsia="微软雅黑" w:hAnsi="微软雅黑"/>
          <w:bCs/>
          <w:sz w:val="24"/>
          <w:szCs w:val="24"/>
        </w:rPr>
        <w:t>——</w:t>
      </w:r>
      <w:r w:rsidRPr="0015662C">
        <w:rPr>
          <w:rFonts w:ascii="微软雅黑" w:eastAsia="微软雅黑" w:hAnsi="微软雅黑" w:cs="仿宋" w:hint="eastAsia"/>
          <w:bCs/>
          <w:sz w:val="24"/>
          <w:szCs w:val="24"/>
        </w:rPr>
        <w:t>住院患者自备药“闭环”智能化管理服务</w:t>
      </w:r>
    </w:p>
    <w:p w14:paraId="19509F3C" w14:textId="77777777" w:rsidR="00471A99" w:rsidRPr="0015662C" w:rsidRDefault="00471A99" w:rsidP="00471A99">
      <w:pPr>
        <w:pStyle w:val="a7"/>
        <w:numPr>
          <w:ilvl w:val="0"/>
          <w:numId w:val="12"/>
        </w:numPr>
        <w:adjustRightInd w:val="0"/>
        <w:snapToGrid w:val="0"/>
        <w:spacing w:line="560" w:lineRule="exact"/>
        <w:ind w:left="0"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“思维导图”引导下的儿童药学科普活动实践</w:t>
      </w:r>
    </w:p>
    <w:p w14:paraId="44F98A00" w14:textId="77777777" w:rsidR="00471A99" w:rsidRPr="0015662C" w:rsidRDefault="00471A99" w:rsidP="00471A99">
      <w:pPr>
        <w:pStyle w:val="a7"/>
        <w:numPr>
          <w:ilvl w:val="0"/>
          <w:numId w:val="12"/>
        </w:numPr>
        <w:adjustRightInd w:val="0"/>
        <w:snapToGrid w:val="0"/>
        <w:spacing w:line="560" w:lineRule="exact"/>
        <w:ind w:left="0" w:firstLine="464"/>
        <w:rPr>
          <w:rFonts w:ascii="微软雅黑" w:eastAsia="微软雅黑" w:hAnsi="微软雅黑" w:cs="仿宋" w:hint="eastAsia"/>
          <w:bCs/>
          <w:spacing w:val="-4"/>
          <w:sz w:val="24"/>
          <w:szCs w:val="24"/>
        </w:rPr>
      </w:pPr>
      <w:r w:rsidRPr="0015662C">
        <w:rPr>
          <w:rFonts w:ascii="微软雅黑" w:eastAsia="微软雅黑" w:hAnsi="微软雅黑" w:cs="仿宋" w:hint="eastAsia"/>
          <w:bCs/>
          <w:spacing w:val="-4"/>
          <w:sz w:val="24"/>
          <w:szCs w:val="24"/>
        </w:rPr>
        <w:t>以“安全药师制”为核心的全流程用药风险管控体系</w:t>
      </w:r>
    </w:p>
    <w:p w14:paraId="34300D99" w14:textId="77777777" w:rsidR="00471A99" w:rsidRPr="0015662C" w:rsidRDefault="00471A99" w:rsidP="00471A99">
      <w:pPr>
        <w:numPr>
          <w:ilvl w:val="0"/>
          <w:numId w:val="9"/>
        </w:numPr>
        <w:snapToGrid w:val="0"/>
        <w:spacing w:line="560" w:lineRule="exact"/>
        <w:rPr>
          <w:rFonts w:ascii="微软雅黑" w:eastAsia="微软雅黑" w:hAnsi="微软雅黑" w:hint="eastAsia"/>
        </w:rPr>
      </w:pPr>
      <w:r w:rsidRPr="0015662C">
        <w:rPr>
          <w:rFonts w:ascii="微软雅黑" w:eastAsia="微软雅黑" w:hAnsi="微软雅黑" w:hint="eastAsia"/>
        </w:rPr>
        <w:t>美国临床药师的培训体系</w:t>
      </w:r>
    </w:p>
    <w:p w14:paraId="32867A21" w14:textId="77777777" w:rsidR="00471A99" w:rsidRPr="0015662C" w:rsidRDefault="00471A99" w:rsidP="00471A99">
      <w:pPr>
        <w:numPr>
          <w:ilvl w:val="0"/>
          <w:numId w:val="4"/>
        </w:numPr>
        <w:snapToGrid w:val="0"/>
        <w:spacing w:line="560" w:lineRule="exact"/>
        <w:ind w:left="0" w:firstLineChars="200" w:firstLine="480"/>
        <w:rPr>
          <w:rFonts w:ascii="微软雅黑" w:eastAsia="微软雅黑" w:hAnsi="微软雅黑" w:hint="eastAsia"/>
        </w:rPr>
      </w:pPr>
      <w:r w:rsidRPr="0015662C">
        <w:rPr>
          <w:rFonts w:ascii="微软雅黑" w:eastAsia="微软雅黑" w:hAnsi="微软雅黑" w:hint="eastAsia"/>
        </w:rPr>
        <w:t>健康中国</w:t>
      </w:r>
      <w:r w:rsidRPr="0015662C">
        <w:rPr>
          <w:rFonts w:ascii="微软雅黑" w:eastAsia="微软雅黑" w:hAnsi="微软雅黑"/>
        </w:rPr>
        <w:t xml:space="preserve"> </w:t>
      </w:r>
      <w:r w:rsidRPr="0015662C">
        <w:rPr>
          <w:rFonts w:ascii="微软雅黑" w:eastAsia="微软雅黑" w:hAnsi="微软雅黑" w:hint="eastAsia"/>
        </w:rPr>
        <w:t>“药”你知道</w:t>
      </w:r>
      <w:r w:rsidRPr="0015662C">
        <w:rPr>
          <w:rFonts w:ascii="微软雅黑" w:eastAsia="微软雅黑" w:hAnsi="微软雅黑"/>
        </w:rPr>
        <w:t>——</w:t>
      </w:r>
      <w:r w:rsidRPr="0015662C">
        <w:rPr>
          <w:rFonts w:ascii="微软雅黑" w:eastAsia="微软雅黑" w:hAnsi="微软雅黑" w:hint="eastAsia"/>
        </w:rPr>
        <w:t>药学服务V课堂（儿童用药专题）（1</w:t>
      </w:r>
      <w:r w:rsidRPr="0015662C">
        <w:rPr>
          <w:rFonts w:ascii="微软雅黑" w:eastAsia="微软雅黑" w:hAnsi="微软雅黑"/>
        </w:rPr>
        <w:t>1</w:t>
      </w:r>
      <w:r w:rsidRPr="0015662C">
        <w:rPr>
          <w:rFonts w:ascii="微软雅黑" w:eastAsia="微软雅黑" w:hAnsi="微软雅黑" w:hint="eastAsia"/>
        </w:rPr>
        <w:t>月2</w:t>
      </w:r>
      <w:r w:rsidRPr="0015662C">
        <w:rPr>
          <w:rFonts w:ascii="微软雅黑" w:eastAsia="微软雅黑" w:hAnsi="微软雅黑"/>
        </w:rPr>
        <w:t>9</w:t>
      </w:r>
      <w:r w:rsidRPr="0015662C">
        <w:rPr>
          <w:rFonts w:ascii="微软雅黑" w:eastAsia="微软雅黑" w:hAnsi="微软雅黑" w:hint="eastAsia"/>
        </w:rPr>
        <w:t>日上午）</w:t>
      </w:r>
    </w:p>
    <w:p w14:paraId="6C080BC4" w14:textId="77777777" w:rsidR="00471A99" w:rsidRPr="0015662C" w:rsidRDefault="00471A99" w:rsidP="00471A99">
      <w:pPr>
        <w:snapToGrid w:val="0"/>
        <w:spacing w:line="560" w:lineRule="exact"/>
        <w:ind w:firstLine="600"/>
        <w:rPr>
          <w:rFonts w:ascii="微软雅黑" w:eastAsia="微软雅黑" w:hAnsi="微软雅黑" w:hint="eastAsia"/>
        </w:rPr>
      </w:pPr>
      <w:r w:rsidRPr="0015662C">
        <w:rPr>
          <w:rFonts w:ascii="微软雅黑" w:eastAsia="微软雅黑" w:hAnsi="微软雅黑" w:hint="eastAsia"/>
        </w:rPr>
        <w:t>直播板块：</w:t>
      </w:r>
    </w:p>
    <w:p w14:paraId="0BB85EDC" w14:textId="77777777" w:rsidR="00471A99" w:rsidRPr="0015662C" w:rsidRDefault="00471A99" w:rsidP="00471A99">
      <w:pPr>
        <w:numPr>
          <w:ilvl w:val="0"/>
          <w:numId w:val="10"/>
        </w:numPr>
        <w:snapToGrid w:val="0"/>
        <w:spacing w:line="560" w:lineRule="exact"/>
        <w:rPr>
          <w:rFonts w:ascii="微软雅黑" w:eastAsia="微软雅黑" w:hAnsi="微软雅黑" w:hint="eastAsia"/>
        </w:rPr>
      </w:pPr>
      <w:r w:rsidRPr="0015662C">
        <w:rPr>
          <w:rFonts w:ascii="微软雅黑" w:eastAsia="微软雅黑" w:hAnsi="微软雅黑" w:hint="eastAsia"/>
        </w:rPr>
        <w:t>儿童呼吸疾病诊疗和用药</w:t>
      </w:r>
    </w:p>
    <w:p w14:paraId="3B1BCCC1" w14:textId="77777777" w:rsidR="00471A99" w:rsidRPr="0015662C" w:rsidRDefault="00471A99" w:rsidP="00471A99">
      <w:pPr>
        <w:numPr>
          <w:ilvl w:val="0"/>
          <w:numId w:val="10"/>
        </w:numPr>
        <w:snapToGrid w:val="0"/>
        <w:spacing w:line="560" w:lineRule="exact"/>
        <w:rPr>
          <w:rFonts w:ascii="微软雅黑" w:eastAsia="微软雅黑" w:hAnsi="微软雅黑" w:hint="eastAsia"/>
        </w:rPr>
      </w:pPr>
      <w:r w:rsidRPr="0015662C">
        <w:rPr>
          <w:rFonts w:ascii="微软雅黑" w:eastAsia="微软雅黑" w:hAnsi="微软雅黑" w:hint="eastAsia"/>
        </w:rPr>
        <w:t>儿童胃肠道疾病诊疗和用药</w:t>
      </w:r>
    </w:p>
    <w:p w14:paraId="348ACFBF" w14:textId="77777777" w:rsidR="00471A99" w:rsidRPr="0015662C" w:rsidRDefault="00471A99" w:rsidP="00471A99">
      <w:pPr>
        <w:numPr>
          <w:ilvl w:val="0"/>
          <w:numId w:val="10"/>
        </w:numPr>
        <w:snapToGrid w:val="0"/>
        <w:spacing w:line="560" w:lineRule="exact"/>
        <w:rPr>
          <w:rFonts w:ascii="微软雅黑" w:eastAsia="微软雅黑" w:hAnsi="微软雅黑" w:hint="eastAsia"/>
        </w:rPr>
      </w:pPr>
      <w:r w:rsidRPr="0015662C">
        <w:rPr>
          <w:rFonts w:ascii="微软雅黑" w:eastAsia="微软雅黑" w:hAnsi="微软雅黑" w:hint="eastAsia"/>
        </w:rPr>
        <w:t>儿童皮肤疾病诊疗和用药</w:t>
      </w:r>
    </w:p>
    <w:p w14:paraId="4C509EBD" w14:textId="77777777" w:rsidR="00471A99" w:rsidRPr="0015662C" w:rsidRDefault="00471A99" w:rsidP="00471A99">
      <w:pPr>
        <w:numPr>
          <w:ilvl w:val="0"/>
          <w:numId w:val="10"/>
        </w:numPr>
        <w:snapToGrid w:val="0"/>
        <w:spacing w:line="560" w:lineRule="exact"/>
        <w:rPr>
          <w:rFonts w:ascii="微软雅黑" w:eastAsia="微软雅黑" w:hAnsi="微软雅黑" w:hint="eastAsia"/>
        </w:rPr>
      </w:pPr>
      <w:r w:rsidRPr="0015662C">
        <w:rPr>
          <w:rFonts w:ascii="微软雅黑" w:eastAsia="微软雅黑" w:hAnsi="微软雅黑" w:hint="eastAsia"/>
        </w:rPr>
        <w:t>儿童营养保健</w:t>
      </w:r>
    </w:p>
    <w:p w14:paraId="4BE69605" w14:textId="77777777" w:rsidR="00471A99" w:rsidRPr="0015662C" w:rsidRDefault="00471A99" w:rsidP="00471A99">
      <w:pPr>
        <w:pStyle w:val="a7"/>
        <w:numPr>
          <w:ilvl w:val="0"/>
          <w:numId w:val="1"/>
        </w:numPr>
        <w:spacing w:beforeLines="50" w:before="156" w:afterLines="50" w:after="156" w:line="560" w:lineRule="exact"/>
        <w:ind w:firstLineChars="0"/>
        <w:rPr>
          <w:rFonts w:ascii="微软雅黑" w:eastAsia="微软雅黑" w:hAnsi="微软雅黑" w:cs="黑体" w:hint="eastAsia"/>
          <w:sz w:val="24"/>
          <w:szCs w:val="24"/>
        </w:rPr>
      </w:pPr>
      <w:r w:rsidRPr="0015662C">
        <w:rPr>
          <w:rFonts w:ascii="微软雅黑" w:eastAsia="微软雅黑" w:hAnsi="微软雅黑" w:cs="黑体" w:hint="eastAsia"/>
          <w:sz w:val="24"/>
          <w:szCs w:val="24"/>
        </w:rPr>
        <w:t>科普系列活动</w:t>
      </w:r>
    </w:p>
    <w:p w14:paraId="68162417" w14:textId="77777777" w:rsidR="00471A99" w:rsidRPr="0015662C" w:rsidRDefault="00471A99" w:rsidP="00471A99">
      <w:pPr>
        <w:numPr>
          <w:ilvl w:val="0"/>
          <w:numId w:val="11"/>
        </w:numPr>
        <w:snapToGrid w:val="0"/>
        <w:spacing w:line="560" w:lineRule="exact"/>
        <w:rPr>
          <w:rFonts w:ascii="微软雅黑" w:eastAsia="微软雅黑" w:hAnsi="微软雅黑" w:hint="eastAsia"/>
        </w:rPr>
      </w:pPr>
      <w:r w:rsidRPr="0015662C">
        <w:rPr>
          <w:rFonts w:ascii="微软雅黑" w:eastAsia="微软雅黑" w:hAnsi="微软雅黑" w:hint="eastAsia"/>
        </w:rPr>
        <w:t>“科海扬帆 梦想启航”校园科普公益活动</w:t>
      </w:r>
    </w:p>
    <w:p w14:paraId="3473843C" w14:textId="77777777" w:rsidR="00471A99" w:rsidRPr="0015662C" w:rsidRDefault="00471A99" w:rsidP="00471A99">
      <w:pPr>
        <w:pStyle w:val="a7"/>
        <w:adjustRightInd w:val="0"/>
        <w:snapToGrid w:val="0"/>
        <w:spacing w:line="560" w:lineRule="exact"/>
        <w:ind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校园科普公益活动，招募中国药学会大学生科技志愿者，并为大学生志愿者进行有关药学科技前沿、职业素养等方面的培训讲座。</w:t>
      </w:r>
    </w:p>
    <w:p w14:paraId="4EA4D1A1" w14:textId="77777777" w:rsidR="00471A99" w:rsidRPr="0015662C" w:rsidRDefault="00471A99" w:rsidP="00471A99">
      <w:pPr>
        <w:numPr>
          <w:ilvl w:val="0"/>
          <w:numId w:val="11"/>
        </w:numPr>
        <w:snapToGrid w:val="0"/>
        <w:spacing w:line="560" w:lineRule="exact"/>
        <w:rPr>
          <w:rFonts w:ascii="微软雅黑" w:eastAsia="微软雅黑" w:hAnsi="微软雅黑" w:hint="eastAsia"/>
        </w:rPr>
      </w:pPr>
      <w:r w:rsidRPr="0015662C">
        <w:rPr>
          <w:rFonts w:ascii="微软雅黑" w:eastAsia="微软雅黑" w:hAnsi="微软雅黑" w:hint="eastAsia"/>
        </w:rPr>
        <w:t>“安全用药 战</w:t>
      </w:r>
      <w:proofErr w:type="gramStart"/>
      <w:r w:rsidRPr="0015662C">
        <w:rPr>
          <w:rFonts w:ascii="微软雅黑" w:eastAsia="微软雅黑" w:hAnsi="微软雅黑" w:hint="eastAsia"/>
        </w:rPr>
        <w:t>疫</w:t>
      </w:r>
      <w:proofErr w:type="gramEnd"/>
      <w:r w:rsidRPr="0015662C">
        <w:rPr>
          <w:rFonts w:ascii="微软雅黑" w:eastAsia="微软雅黑" w:hAnsi="微软雅黑" w:hint="eastAsia"/>
        </w:rPr>
        <w:t>同行</w:t>
      </w:r>
      <w:r w:rsidRPr="0015662C">
        <w:rPr>
          <w:rFonts w:ascii="微软雅黑" w:eastAsia="微软雅黑" w:hAnsi="微软雅黑"/>
        </w:rPr>
        <w:t>——</w:t>
      </w:r>
      <w:r w:rsidRPr="0015662C">
        <w:rPr>
          <w:rFonts w:ascii="微软雅黑" w:eastAsia="微软雅黑" w:hAnsi="微软雅黑" w:hint="eastAsia"/>
        </w:rPr>
        <w:t>药师您好”</w:t>
      </w:r>
      <w:proofErr w:type="gramStart"/>
      <w:r w:rsidRPr="0015662C">
        <w:rPr>
          <w:rFonts w:ascii="微软雅黑" w:eastAsia="微软雅黑" w:hAnsi="微软雅黑" w:hint="eastAsia"/>
        </w:rPr>
        <w:t>科普文艺</w:t>
      </w:r>
      <w:proofErr w:type="gramEnd"/>
      <w:r w:rsidRPr="0015662C">
        <w:rPr>
          <w:rFonts w:ascii="微软雅黑" w:eastAsia="微软雅黑" w:hAnsi="微软雅黑" w:hint="eastAsia"/>
        </w:rPr>
        <w:t>展演</w:t>
      </w:r>
    </w:p>
    <w:p w14:paraId="240AF38B" w14:textId="77777777" w:rsidR="00471A99" w:rsidRPr="0015662C" w:rsidRDefault="00471A99" w:rsidP="00471A99">
      <w:pPr>
        <w:pStyle w:val="a7"/>
        <w:adjustRightInd w:val="0"/>
        <w:snapToGrid w:val="0"/>
        <w:spacing w:line="560" w:lineRule="exact"/>
        <w:ind w:firstLine="480"/>
        <w:rPr>
          <w:rFonts w:ascii="微软雅黑" w:eastAsia="微软雅黑" w:hAnsi="微软雅黑" w:cs="仿宋" w:hint="eastAsia"/>
          <w:bCs/>
          <w:sz w:val="24"/>
          <w:szCs w:val="24"/>
        </w:rPr>
      </w:pPr>
      <w:r w:rsidRPr="0015662C">
        <w:rPr>
          <w:rFonts w:ascii="微软雅黑" w:eastAsia="微软雅黑" w:hAnsi="微软雅黑" w:cs="仿宋" w:hint="eastAsia"/>
          <w:bCs/>
          <w:sz w:val="24"/>
          <w:szCs w:val="24"/>
        </w:rPr>
        <w:t>药师自编、自导、自排、自演的科普作品，以暖暖的人文情怀，满满的赤诚</w:t>
      </w:r>
      <w:r w:rsidRPr="0015662C">
        <w:rPr>
          <w:rFonts w:ascii="微软雅黑" w:eastAsia="微软雅黑" w:hAnsi="微软雅黑" w:cs="仿宋" w:hint="eastAsia"/>
          <w:bCs/>
          <w:sz w:val="24"/>
          <w:szCs w:val="24"/>
        </w:rPr>
        <w:lastRenderedPageBreak/>
        <w:t>之心，弘扬科学精神、倡导科学方法、普及科学知识，提升科学素养。</w:t>
      </w:r>
    </w:p>
    <w:p w14:paraId="532DDE1B" w14:textId="77777777" w:rsidR="00471A99" w:rsidRPr="0015662C" w:rsidRDefault="00471A99" w:rsidP="00471A99">
      <w:pPr>
        <w:spacing w:line="520" w:lineRule="exact"/>
        <w:jc w:val="left"/>
        <w:rPr>
          <w:rFonts w:ascii="微软雅黑" w:eastAsia="微软雅黑" w:hAnsi="微软雅黑" w:hint="eastAsia"/>
        </w:rPr>
      </w:pPr>
    </w:p>
    <w:p w14:paraId="00669E58" w14:textId="77777777" w:rsidR="00C338A4" w:rsidRPr="00471A99" w:rsidRDefault="00C338A4"/>
    <w:sectPr w:rsidR="00C338A4" w:rsidRPr="00471A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D178" w14:textId="77777777" w:rsidR="00E9182A" w:rsidRDefault="00E9182A" w:rsidP="00471A99">
      <w:r>
        <w:separator/>
      </w:r>
    </w:p>
  </w:endnote>
  <w:endnote w:type="continuationSeparator" w:id="0">
    <w:p w14:paraId="17958556" w14:textId="77777777" w:rsidR="00E9182A" w:rsidRDefault="00E9182A" w:rsidP="0047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FC039" w14:textId="77777777" w:rsidR="00E9182A" w:rsidRDefault="00E9182A" w:rsidP="00471A99">
      <w:r>
        <w:separator/>
      </w:r>
    </w:p>
  </w:footnote>
  <w:footnote w:type="continuationSeparator" w:id="0">
    <w:p w14:paraId="00281FB4" w14:textId="77777777" w:rsidR="00E9182A" w:rsidRDefault="00E9182A" w:rsidP="00471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B6"/>
    <w:multiLevelType w:val="hybridMultilevel"/>
    <w:tmpl w:val="BDE821CC"/>
    <w:lvl w:ilvl="0" w:tplc="C472CDFC">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59E3D37"/>
    <w:multiLevelType w:val="hybridMultilevel"/>
    <w:tmpl w:val="1F429318"/>
    <w:lvl w:ilvl="0" w:tplc="20A6C7A2">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1B52499E"/>
    <w:multiLevelType w:val="hybridMultilevel"/>
    <w:tmpl w:val="683415B4"/>
    <w:lvl w:ilvl="0" w:tplc="EE8E753E">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C5D59E2"/>
    <w:multiLevelType w:val="hybridMultilevel"/>
    <w:tmpl w:val="424A800E"/>
    <w:lvl w:ilvl="0" w:tplc="4C92FAD4">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1F2F0BDE"/>
    <w:multiLevelType w:val="hybridMultilevel"/>
    <w:tmpl w:val="D8D01DB4"/>
    <w:lvl w:ilvl="0" w:tplc="FABCC152">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64025CE"/>
    <w:multiLevelType w:val="hybridMultilevel"/>
    <w:tmpl w:val="DB725ED6"/>
    <w:lvl w:ilvl="0" w:tplc="F72E3140">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27BC074F"/>
    <w:multiLevelType w:val="hybridMultilevel"/>
    <w:tmpl w:val="8C087036"/>
    <w:lvl w:ilvl="0" w:tplc="7814F870">
      <w:start w:val="1"/>
      <w:numFmt w:val="chineseCountingThousand"/>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31EA0E12"/>
    <w:multiLevelType w:val="hybridMultilevel"/>
    <w:tmpl w:val="8C087036"/>
    <w:lvl w:ilvl="0" w:tplc="7814F870">
      <w:start w:val="1"/>
      <w:numFmt w:val="chineseCountingThousand"/>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42C261E2"/>
    <w:multiLevelType w:val="hybridMultilevel"/>
    <w:tmpl w:val="C66C9F42"/>
    <w:lvl w:ilvl="0" w:tplc="9F5ADE18">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4FC87F1C"/>
    <w:multiLevelType w:val="hybridMultilevel"/>
    <w:tmpl w:val="8C087036"/>
    <w:lvl w:ilvl="0" w:tplc="7814F870">
      <w:start w:val="1"/>
      <w:numFmt w:val="chineseCountingThousand"/>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52ED1819"/>
    <w:multiLevelType w:val="hybridMultilevel"/>
    <w:tmpl w:val="D2A0C77A"/>
    <w:lvl w:ilvl="0" w:tplc="2256880C">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530523C8"/>
    <w:multiLevelType w:val="hybridMultilevel"/>
    <w:tmpl w:val="FA2C08B2"/>
    <w:lvl w:ilvl="0" w:tplc="2C3A2042">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78C03312"/>
    <w:multiLevelType w:val="hybridMultilevel"/>
    <w:tmpl w:val="9326BFA6"/>
    <w:lvl w:ilvl="0" w:tplc="A32C46AC">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1426027397">
    <w:abstractNumId w:val="10"/>
  </w:num>
  <w:num w:numId="2" w16cid:durableId="1280380122">
    <w:abstractNumId w:val="6"/>
  </w:num>
  <w:num w:numId="3" w16cid:durableId="1371682588">
    <w:abstractNumId w:val="0"/>
  </w:num>
  <w:num w:numId="4" w16cid:durableId="2030568444">
    <w:abstractNumId w:val="7"/>
  </w:num>
  <w:num w:numId="5" w16cid:durableId="1345862550">
    <w:abstractNumId w:val="1"/>
  </w:num>
  <w:num w:numId="6" w16cid:durableId="563179053">
    <w:abstractNumId w:val="11"/>
  </w:num>
  <w:num w:numId="7" w16cid:durableId="574971786">
    <w:abstractNumId w:val="4"/>
  </w:num>
  <w:num w:numId="8" w16cid:durableId="1065564821">
    <w:abstractNumId w:val="12"/>
  </w:num>
  <w:num w:numId="9" w16cid:durableId="1183208986">
    <w:abstractNumId w:val="5"/>
  </w:num>
  <w:num w:numId="10" w16cid:durableId="93213006">
    <w:abstractNumId w:val="8"/>
  </w:num>
  <w:num w:numId="11" w16cid:durableId="2004746374">
    <w:abstractNumId w:val="9"/>
  </w:num>
  <w:num w:numId="12" w16cid:durableId="61947830">
    <w:abstractNumId w:val="2"/>
  </w:num>
  <w:num w:numId="13" w16cid:durableId="1407343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BD"/>
    <w:rsid w:val="00471A99"/>
    <w:rsid w:val="00486BA3"/>
    <w:rsid w:val="00A964ED"/>
    <w:rsid w:val="00B20C36"/>
    <w:rsid w:val="00C338A4"/>
    <w:rsid w:val="00D43DBD"/>
    <w:rsid w:val="00D728AD"/>
    <w:rsid w:val="00E9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FEBA2"/>
  <w15:chartTrackingRefBased/>
  <w15:docId w15:val="{FB79A334-9989-422F-B9B4-D80CBA6F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99"/>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A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1A99"/>
    <w:rPr>
      <w:sz w:val="18"/>
      <w:szCs w:val="18"/>
    </w:rPr>
  </w:style>
  <w:style w:type="paragraph" w:styleId="a5">
    <w:name w:val="footer"/>
    <w:basedOn w:val="a"/>
    <w:link w:val="a6"/>
    <w:uiPriority w:val="99"/>
    <w:unhideWhenUsed/>
    <w:rsid w:val="00471A99"/>
    <w:pPr>
      <w:tabs>
        <w:tab w:val="center" w:pos="4153"/>
        <w:tab w:val="right" w:pos="8306"/>
      </w:tabs>
      <w:snapToGrid w:val="0"/>
      <w:jc w:val="left"/>
    </w:pPr>
    <w:rPr>
      <w:sz w:val="18"/>
      <w:szCs w:val="18"/>
    </w:rPr>
  </w:style>
  <w:style w:type="character" w:customStyle="1" w:styleId="a6">
    <w:name w:val="页脚 字符"/>
    <w:basedOn w:val="a0"/>
    <w:link w:val="a5"/>
    <w:uiPriority w:val="99"/>
    <w:rsid w:val="00471A99"/>
    <w:rPr>
      <w:sz w:val="18"/>
      <w:szCs w:val="18"/>
    </w:rPr>
  </w:style>
  <w:style w:type="paragraph" w:styleId="a7">
    <w:name w:val="List Paragraph"/>
    <w:basedOn w:val="a"/>
    <w:uiPriority w:val="34"/>
    <w:qFormat/>
    <w:rsid w:val="00471A99"/>
    <w:pPr>
      <w:ind w:firstLineChars="200" w:firstLine="4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华翠</cp:lastModifiedBy>
  <cp:revision>2</cp:revision>
  <dcterms:created xsi:type="dcterms:W3CDTF">2025-01-18T02:46:00Z</dcterms:created>
  <dcterms:modified xsi:type="dcterms:W3CDTF">2025-01-18T02:46:00Z</dcterms:modified>
</cp:coreProperties>
</file>