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9B25B">
      <w:pPr>
        <w:spacing w:before="156" w:beforeLines="50" w:line="580" w:lineRule="exact"/>
        <w:jc w:val="left"/>
        <w:rPr>
          <w:rFonts w:hint="eastAsia" w:ascii="Times New Roman" w:hAnsi="Times New Roman" w:eastAsia="黑体" w:cs="Times New Roman"/>
          <w:bCs/>
          <w:spacing w:val="-6"/>
          <w:sz w:val="32"/>
          <w:szCs w:val="32"/>
          <w:lang w:eastAsia="zh-CN"/>
        </w:rPr>
      </w:pPr>
      <w:r>
        <w:rPr>
          <w:rFonts w:hint="eastAsia" w:ascii="Times New Roman" w:hAnsi="Times New Roman" w:eastAsia="黑体" w:cs="Times New Roman"/>
          <w:bCs/>
          <w:spacing w:val="-6"/>
          <w:sz w:val="32"/>
          <w:szCs w:val="32"/>
          <w:lang w:eastAsia="zh-CN"/>
        </w:rPr>
        <w:t>附件</w:t>
      </w:r>
    </w:p>
    <w:p w14:paraId="55177649">
      <w:pPr>
        <w:spacing w:before="156" w:beforeLines="50" w:line="580" w:lineRule="exact"/>
        <w:jc w:val="center"/>
        <w:rPr>
          <w:rFonts w:hint="eastAsia" w:ascii="Times New Roman" w:hAnsi="Times New Roman" w:eastAsia="国标小标宋-GB/T 2312" w:cs="Times New Roman"/>
          <w:bCs/>
          <w:spacing w:val="-6"/>
          <w:sz w:val="36"/>
          <w:szCs w:val="36"/>
        </w:rPr>
      </w:pPr>
      <w:r>
        <w:rPr>
          <w:rFonts w:hint="eastAsia" w:ascii="Times New Roman" w:hAnsi="Times New Roman" w:eastAsia="国标小标宋-GB/T 2312" w:cs="Times New Roman"/>
          <w:bCs/>
          <w:spacing w:val="-6"/>
          <w:sz w:val="36"/>
          <w:szCs w:val="36"/>
        </w:rPr>
        <w:t>2026年中国药学会医院药学专业委员会医院药学</w:t>
      </w:r>
    </w:p>
    <w:p w14:paraId="0021AD3C">
      <w:pPr>
        <w:spacing w:before="156" w:beforeLines="50" w:line="580" w:lineRule="exact"/>
        <w:jc w:val="center"/>
        <w:rPr>
          <w:rFonts w:hint="eastAsia" w:ascii="Times New Roman" w:hAnsi="Times New Roman" w:eastAsia="国标小标宋-GB/T 2312" w:cs="Times New Roman"/>
          <w:bCs/>
          <w:spacing w:val="-6"/>
          <w:sz w:val="36"/>
          <w:szCs w:val="36"/>
        </w:rPr>
      </w:pPr>
      <w:r>
        <w:rPr>
          <w:rFonts w:hint="eastAsia" w:ascii="Times New Roman" w:hAnsi="Times New Roman" w:eastAsia="国标小标宋-GB/T 2312" w:cs="Times New Roman"/>
          <w:bCs/>
          <w:spacing w:val="-6"/>
          <w:sz w:val="36"/>
          <w:szCs w:val="36"/>
        </w:rPr>
        <w:t>科研专项资助项目</w:t>
      </w:r>
    </w:p>
    <w:tbl>
      <w:tblPr>
        <w:tblStyle w:val="4"/>
        <w:tblpPr w:leftFromText="180" w:rightFromText="180" w:vertAnchor="text" w:horzAnchor="page" w:tblpXSpec="center" w:tblpY="299"/>
        <w:tblOverlap w:val="never"/>
        <w:tblW w:w="10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766"/>
        <w:gridCol w:w="5964"/>
        <w:gridCol w:w="1842"/>
        <w:gridCol w:w="1497"/>
      </w:tblGrid>
      <w:tr w14:paraId="0934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10" w:type="dxa"/>
            <w:vAlign w:val="center"/>
          </w:tcPr>
          <w:p w14:paraId="785CE366">
            <w:pPr>
              <w:spacing w:line="380" w:lineRule="exact"/>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t>项目</w:t>
            </w:r>
          </w:p>
          <w:p w14:paraId="26FF7AB0">
            <w:pPr>
              <w:spacing w:line="380" w:lineRule="exact"/>
              <w:jc w:val="center"/>
              <w:rPr>
                <w:rFonts w:hint="eastAsia" w:ascii="Times New Roman" w:hAnsi="Times New Roman" w:eastAsia="黑体" w:cs="Times New Roman"/>
                <w:sz w:val="28"/>
                <w:szCs w:val="28"/>
              </w:rPr>
            </w:pPr>
            <w:r>
              <w:rPr>
                <w:rFonts w:hint="default" w:ascii="Times New Roman" w:hAnsi="Times New Roman" w:eastAsia="黑体" w:cs="Times New Roman"/>
                <w:sz w:val="28"/>
                <w:szCs w:val="28"/>
              </w:rPr>
              <w:t>类型</w:t>
            </w:r>
          </w:p>
        </w:tc>
        <w:tc>
          <w:tcPr>
            <w:tcW w:w="766" w:type="dxa"/>
            <w:noWrap/>
            <w:vAlign w:val="center"/>
          </w:tcPr>
          <w:p w14:paraId="32128C01">
            <w:pPr>
              <w:spacing w:line="380" w:lineRule="exact"/>
              <w:jc w:val="center"/>
              <w:rPr>
                <w:rFonts w:hint="eastAsia" w:ascii="Times New Roman" w:hAnsi="Times New Roman" w:eastAsia="黑体" w:cs="Times New Roman"/>
                <w:sz w:val="28"/>
                <w:szCs w:val="28"/>
              </w:rPr>
            </w:pPr>
            <w:r>
              <w:rPr>
                <w:rFonts w:hint="default" w:ascii="Times New Roman" w:hAnsi="Times New Roman" w:eastAsia="黑体" w:cs="Times New Roman"/>
                <w:sz w:val="28"/>
                <w:szCs w:val="28"/>
              </w:rPr>
              <w:t>序号</w:t>
            </w:r>
          </w:p>
        </w:tc>
        <w:tc>
          <w:tcPr>
            <w:tcW w:w="5964" w:type="dxa"/>
            <w:noWrap/>
            <w:vAlign w:val="center"/>
          </w:tcPr>
          <w:p w14:paraId="0C91D0F7">
            <w:pPr>
              <w:spacing w:line="380" w:lineRule="exact"/>
              <w:jc w:val="center"/>
              <w:rPr>
                <w:rFonts w:hint="eastAsia" w:ascii="Times New Roman" w:hAnsi="Times New Roman" w:eastAsia="黑体" w:cs="Times New Roman"/>
                <w:sz w:val="28"/>
                <w:szCs w:val="28"/>
              </w:rPr>
            </w:pPr>
            <w:r>
              <w:rPr>
                <w:rFonts w:hint="default" w:ascii="Times New Roman" w:hAnsi="Times New Roman" w:eastAsia="黑体" w:cs="Times New Roman"/>
                <w:sz w:val="28"/>
                <w:szCs w:val="28"/>
              </w:rPr>
              <w:t>项目名称</w:t>
            </w:r>
          </w:p>
        </w:tc>
        <w:tc>
          <w:tcPr>
            <w:tcW w:w="1842" w:type="dxa"/>
            <w:vAlign w:val="center"/>
          </w:tcPr>
          <w:p w14:paraId="510A5BF6">
            <w:pPr>
              <w:spacing w:line="380" w:lineRule="exact"/>
              <w:jc w:val="center"/>
              <w:rPr>
                <w:rFonts w:hint="eastAsia" w:ascii="Times New Roman" w:hAnsi="Times New Roman" w:eastAsia="黑体" w:cs="Times New Roman"/>
                <w:sz w:val="28"/>
                <w:szCs w:val="28"/>
              </w:rPr>
            </w:pPr>
            <w:r>
              <w:rPr>
                <w:rFonts w:hint="default" w:ascii="Times New Roman" w:hAnsi="Times New Roman" w:eastAsia="黑体" w:cs="Times New Roman"/>
                <w:sz w:val="28"/>
                <w:szCs w:val="28"/>
              </w:rPr>
              <w:t>单位</w:t>
            </w:r>
          </w:p>
        </w:tc>
        <w:tc>
          <w:tcPr>
            <w:tcW w:w="1497" w:type="dxa"/>
            <w:vAlign w:val="center"/>
          </w:tcPr>
          <w:p w14:paraId="471D4325">
            <w:pPr>
              <w:spacing w:line="380" w:lineRule="exact"/>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t>项目</w:t>
            </w:r>
          </w:p>
          <w:p w14:paraId="1576CA1B">
            <w:pPr>
              <w:spacing w:line="380" w:lineRule="exact"/>
              <w:jc w:val="center"/>
              <w:rPr>
                <w:rFonts w:hint="eastAsia" w:ascii="Times New Roman" w:hAnsi="Times New Roman" w:eastAsia="黑体" w:cs="Times New Roman"/>
                <w:sz w:val="28"/>
                <w:szCs w:val="28"/>
              </w:rPr>
            </w:pPr>
            <w:r>
              <w:rPr>
                <w:rFonts w:hint="default" w:ascii="Times New Roman" w:hAnsi="Times New Roman" w:eastAsia="黑体" w:cs="Times New Roman"/>
                <w:sz w:val="28"/>
                <w:szCs w:val="28"/>
              </w:rPr>
              <w:t>负责人</w:t>
            </w:r>
          </w:p>
        </w:tc>
      </w:tr>
      <w:tr w14:paraId="6A58B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10" w:type="dxa"/>
            <w:vMerge w:val="restart"/>
            <w:vAlign w:val="center"/>
          </w:tcPr>
          <w:p w14:paraId="7467D29E">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面上项目</w:t>
            </w:r>
          </w:p>
          <w:p w14:paraId="6CEE5B9F">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w:t>
            </w:r>
            <w:r>
              <w:rPr>
                <w:rFonts w:hint="eastAsia" w:ascii="Times New Roman" w:hAnsi="Times New Roman" w:eastAsia="仿宋_GB2312" w:cs="Times New Roman"/>
                <w:sz w:val="28"/>
                <w:szCs w:val="28"/>
              </w:rPr>
              <w:t>5</w:t>
            </w:r>
            <w:r>
              <w:rPr>
                <w:rFonts w:hint="default" w:ascii="Times New Roman" w:hAnsi="Times New Roman" w:eastAsia="仿宋_GB2312" w:cs="Times New Roman"/>
                <w:sz w:val="28"/>
                <w:szCs w:val="28"/>
              </w:rPr>
              <w:t>项)</w:t>
            </w:r>
          </w:p>
        </w:tc>
        <w:tc>
          <w:tcPr>
            <w:tcW w:w="766" w:type="dxa"/>
            <w:noWrap/>
            <w:vAlign w:val="center"/>
          </w:tcPr>
          <w:p w14:paraId="0F3DDB8D">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1</w:t>
            </w:r>
          </w:p>
        </w:tc>
        <w:tc>
          <w:tcPr>
            <w:tcW w:w="5964" w:type="dxa"/>
            <w:noWrap/>
            <w:vAlign w:val="center"/>
          </w:tcPr>
          <w:p w14:paraId="531C5C34">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结直肠癌内定植菌群重塑肿瘤基质阻碍化疗药物瘤内渗透的耐药机制研究</w:t>
            </w:r>
          </w:p>
        </w:tc>
        <w:tc>
          <w:tcPr>
            <w:tcW w:w="1842" w:type="dxa"/>
            <w:noWrap/>
            <w:vAlign w:val="center"/>
          </w:tcPr>
          <w:p w14:paraId="020A28A3">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浙江省肿瘤医院</w:t>
            </w:r>
          </w:p>
        </w:tc>
        <w:tc>
          <w:tcPr>
            <w:tcW w:w="1497" w:type="dxa"/>
            <w:vAlign w:val="center"/>
          </w:tcPr>
          <w:p w14:paraId="5AC59E59">
            <w:pPr>
              <w:spacing w:line="380" w:lineRule="exact"/>
              <w:jc w:val="center"/>
              <w:rPr>
                <w:rFonts w:hint="eastAsia" w:ascii="Times New Roman" w:hAnsi="Times New Roman" w:eastAsia="仿宋_GB2312" w:cs="Times New Roman"/>
                <w:sz w:val="28"/>
                <w:szCs w:val="28"/>
              </w:rPr>
            </w:pPr>
            <w:r>
              <w:rPr>
                <w:rFonts w:hint="default" w:ascii="Times New Roman" w:hAnsi="Times New Roman" w:eastAsia="仿宋_GB2312" w:cs="Times New Roman"/>
                <w:sz w:val="28"/>
                <w:szCs w:val="28"/>
              </w:rPr>
              <w:t>方罗</w:t>
            </w:r>
          </w:p>
        </w:tc>
      </w:tr>
      <w:tr w14:paraId="33AF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10" w:type="dxa"/>
            <w:vMerge w:val="continue"/>
            <w:vAlign w:val="center"/>
          </w:tcPr>
          <w:p w14:paraId="7164FA0B">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49D95C53">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2</w:t>
            </w:r>
          </w:p>
        </w:tc>
        <w:tc>
          <w:tcPr>
            <w:tcW w:w="5964" w:type="dxa"/>
            <w:noWrap/>
            <w:vAlign w:val="center"/>
          </w:tcPr>
          <w:p w14:paraId="32B7BE62">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基于真实世界证据与定量药理模型结合的特应性皮炎治疗药物评估与智能决策体系构建</w:t>
            </w:r>
          </w:p>
        </w:tc>
        <w:tc>
          <w:tcPr>
            <w:tcW w:w="1842" w:type="dxa"/>
            <w:noWrap/>
            <w:vAlign w:val="center"/>
          </w:tcPr>
          <w:p w14:paraId="4E0F9476">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北京大学第三医院</w:t>
            </w:r>
          </w:p>
        </w:tc>
        <w:tc>
          <w:tcPr>
            <w:tcW w:w="1497" w:type="dxa"/>
            <w:vAlign w:val="center"/>
          </w:tcPr>
          <w:p w14:paraId="46BF4B0F">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赵立波</w:t>
            </w:r>
          </w:p>
        </w:tc>
      </w:tr>
      <w:tr w14:paraId="1474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10" w:type="dxa"/>
            <w:vMerge w:val="continue"/>
            <w:vAlign w:val="center"/>
          </w:tcPr>
          <w:p w14:paraId="67A74E64">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18773EAD">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3</w:t>
            </w:r>
          </w:p>
        </w:tc>
        <w:tc>
          <w:tcPr>
            <w:tcW w:w="5964" w:type="dxa"/>
            <w:noWrap/>
            <w:vAlign w:val="center"/>
          </w:tcPr>
          <w:p w14:paraId="31AC3F5A">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药学增强智慧神经外科数据库的建设与应用：以胶质瘤围手术期低钠血症动态预警与药物决策为例</w:t>
            </w:r>
          </w:p>
        </w:tc>
        <w:tc>
          <w:tcPr>
            <w:tcW w:w="1842" w:type="dxa"/>
            <w:vAlign w:val="center"/>
          </w:tcPr>
          <w:p w14:paraId="380724A1">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首都医科大学附属北京天坛医院</w:t>
            </w:r>
          </w:p>
        </w:tc>
        <w:tc>
          <w:tcPr>
            <w:tcW w:w="1497" w:type="dxa"/>
            <w:vAlign w:val="center"/>
          </w:tcPr>
          <w:p w14:paraId="05151287">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李草</w:t>
            </w:r>
          </w:p>
        </w:tc>
      </w:tr>
      <w:tr w14:paraId="4D84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10" w:type="dxa"/>
            <w:vMerge w:val="continue"/>
            <w:vAlign w:val="center"/>
          </w:tcPr>
          <w:p w14:paraId="5303FAB4">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5AB5AE98">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4</w:t>
            </w:r>
          </w:p>
        </w:tc>
        <w:tc>
          <w:tcPr>
            <w:tcW w:w="5964" w:type="dxa"/>
            <w:noWrap/>
            <w:vAlign w:val="center"/>
          </w:tcPr>
          <w:p w14:paraId="06F7E9F2">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基于人工智能的住院患者多重用药不良反应预测与精准干预模式研究</w:t>
            </w:r>
          </w:p>
        </w:tc>
        <w:tc>
          <w:tcPr>
            <w:tcW w:w="1842" w:type="dxa"/>
            <w:vAlign w:val="center"/>
          </w:tcPr>
          <w:p w14:paraId="6FD68B87">
            <w:pPr>
              <w:spacing w:line="380" w:lineRule="exact"/>
              <w:jc w:val="center"/>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北京医院药学部</w:t>
            </w:r>
          </w:p>
        </w:tc>
        <w:tc>
          <w:tcPr>
            <w:tcW w:w="1497" w:type="dxa"/>
            <w:vAlign w:val="center"/>
          </w:tcPr>
          <w:p w14:paraId="14B3B71A">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赵紫楠</w:t>
            </w:r>
          </w:p>
        </w:tc>
      </w:tr>
      <w:tr w14:paraId="65E38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10" w:type="dxa"/>
            <w:vMerge w:val="continue"/>
            <w:vAlign w:val="center"/>
          </w:tcPr>
          <w:p w14:paraId="5FE8CBCD">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00DF5836">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5</w:t>
            </w:r>
          </w:p>
        </w:tc>
        <w:tc>
          <w:tcPr>
            <w:tcW w:w="5964" w:type="dxa"/>
            <w:noWrap/>
            <w:vAlign w:val="center"/>
          </w:tcPr>
          <w:p w14:paraId="1347AFD7">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基于AutoML挖掘高龄共病患者药物-临床交互特征及药源性肾损伤风险分层与干预研究</w:t>
            </w:r>
          </w:p>
        </w:tc>
        <w:tc>
          <w:tcPr>
            <w:tcW w:w="1842" w:type="dxa"/>
            <w:vAlign w:val="center"/>
          </w:tcPr>
          <w:p w14:paraId="403182A1">
            <w:pPr>
              <w:spacing w:line="380" w:lineRule="exact"/>
              <w:jc w:val="center"/>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西京医院</w:t>
            </w:r>
          </w:p>
        </w:tc>
        <w:tc>
          <w:tcPr>
            <w:tcW w:w="1497" w:type="dxa"/>
            <w:vAlign w:val="center"/>
          </w:tcPr>
          <w:p w14:paraId="466D3052">
            <w:pPr>
              <w:spacing w:line="380" w:lineRule="exact"/>
              <w:jc w:val="center"/>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牟菲</w:t>
            </w:r>
          </w:p>
        </w:tc>
      </w:tr>
      <w:tr w14:paraId="2EB4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restart"/>
            <w:vAlign w:val="center"/>
          </w:tcPr>
          <w:p w14:paraId="642815BD">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青年项目</w:t>
            </w:r>
          </w:p>
          <w:p w14:paraId="70D6E972">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w:t>
            </w:r>
            <w:r>
              <w:rPr>
                <w:rFonts w:hint="eastAsia" w:ascii="Times New Roman" w:hAnsi="Times New Roman" w:eastAsia="仿宋_GB2312" w:cs="Times New Roman"/>
                <w:sz w:val="28"/>
                <w:szCs w:val="28"/>
              </w:rPr>
              <w:t>1</w:t>
            </w:r>
            <w:r>
              <w:rPr>
                <w:rFonts w:hint="default" w:ascii="Times New Roman" w:hAnsi="Times New Roman" w:eastAsia="仿宋_GB2312" w:cs="Times New Roman"/>
                <w:sz w:val="28"/>
                <w:szCs w:val="28"/>
              </w:rPr>
              <w:t>项)</w:t>
            </w:r>
          </w:p>
        </w:tc>
        <w:tc>
          <w:tcPr>
            <w:tcW w:w="766" w:type="dxa"/>
            <w:noWrap/>
            <w:vAlign w:val="center"/>
          </w:tcPr>
          <w:p w14:paraId="7FC6A8EE">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6</w:t>
            </w:r>
          </w:p>
        </w:tc>
        <w:tc>
          <w:tcPr>
            <w:tcW w:w="5964" w:type="dxa"/>
            <w:noWrap/>
            <w:vAlign w:val="center"/>
          </w:tcPr>
          <w:p w14:paraId="034BAFAC">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驻科临床药师对酸相关疾病患者实施分级药学监护的模式与成效研究</w:t>
            </w:r>
          </w:p>
        </w:tc>
        <w:tc>
          <w:tcPr>
            <w:tcW w:w="1842" w:type="dxa"/>
            <w:vAlign w:val="center"/>
          </w:tcPr>
          <w:p w14:paraId="099EFAAE">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郑州大学第一附属医院</w:t>
            </w:r>
          </w:p>
        </w:tc>
        <w:tc>
          <w:tcPr>
            <w:tcW w:w="1497" w:type="dxa"/>
            <w:vAlign w:val="center"/>
          </w:tcPr>
          <w:p w14:paraId="3303AA99">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杨杰</w:t>
            </w:r>
          </w:p>
        </w:tc>
      </w:tr>
      <w:tr w14:paraId="79A1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5DE05740">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028022AF">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7</w:t>
            </w:r>
          </w:p>
        </w:tc>
        <w:tc>
          <w:tcPr>
            <w:tcW w:w="5964" w:type="dxa"/>
            <w:noWrap/>
            <w:vAlign w:val="center"/>
          </w:tcPr>
          <w:p w14:paraId="08BF4914">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经导管主动脉瓣置换术后患者GDMT优化对预后的影响：药师主导的回顾性与随机对照研究</w:t>
            </w:r>
          </w:p>
        </w:tc>
        <w:tc>
          <w:tcPr>
            <w:tcW w:w="1842" w:type="dxa"/>
            <w:vAlign w:val="center"/>
          </w:tcPr>
          <w:p w14:paraId="2D632BE8">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复旦大学附属中山医院</w:t>
            </w:r>
          </w:p>
        </w:tc>
        <w:tc>
          <w:tcPr>
            <w:tcW w:w="1497" w:type="dxa"/>
            <w:vAlign w:val="center"/>
          </w:tcPr>
          <w:p w14:paraId="5098311F">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田丹</w:t>
            </w:r>
          </w:p>
        </w:tc>
      </w:tr>
      <w:tr w14:paraId="08317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3DD2CD7E">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5B2237E8">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8</w:t>
            </w:r>
          </w:p>
        </w:tc>
        <w:tc>
          <w:tcPr>
            <w:tcW w:w="5964" w:type="dxa"/>
            <w:noWrap/>
            <w:vAlign w:val="center"/>
          </w:tcPr>
          <w:p w14:paraId="4AC7B704">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区域审方平台下审方干预-主动管理双轨模式在基层慢病管理中的构建与实证研究</w:t>
            </w:r>
          </w:p>
        </w:tc>
        <w:tc>
          <w:tcPr>
            <w:tcW w:w="1842" w:type="dxa"/>
            <w:vAlign w:val="center"/>
          </w:tcPr>
          <w:p w14:paraId="6AC4F855">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华中科技大学同济医学院附属同济医院</w:t>
            </w:r>
          </w:p>
        </w:tc>
        <w:tc>
          <w:tcPr>
            <w:tcW w:w="1497" w:type="dxa"/>
            <w:vAlign w:val="center"/>
          </w:tcPr>
          <w:p w14:paraId="2177B397">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丁伊玲</w:t>
            </w:r>
          </w:p>
        </w:tc>
      </w:tr>
      <w:tr w14:paraId="5C39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6BF3763C">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760BC25F">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9</w:t>
            </w:r>
          </w:p>
        </w:tc>
        <w:tc>
          <w:tcPr>
            <w:tcW w:w="5964" w:type="dxa"/>
            <w:noWrap/>
            <w:vAlign w:val="center"/>
          </w:tcPr>
          <w:p w14:paraId="3C2CA9FA">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基于多系统免疫毒性特征建模的非小细胞肺癌免疫检查点抑制剂毒性-疗效关联及预测研究</w:t>
            </w:r>
          </w:p>
        </w:tc>
        <w:tc>
          <w:tcPr>
            <w:tcW w:w="1842" w:type="dxa"/>
            <w:vAlign w:val="center"/>
          </w:tcPr>
          <w:p w14:paraId="1881B237">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重庆医科大学附属第一医院 </w:t>
            </w:r>
          </w:p>
        </w:tc>
        <w:tc>
          <w:tcPr>
            <w:tcW w:w="1497" w:type="dxa"/>
            <w:vAlign w:val="center"/>
          </w:tcPr>
          <w:p w14:paraId="429EAC04">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蒙龙</w:t>
            </w:r>
          </w:p>
        </w:tc>
      </w:tr>
      <w:tr w14:paraId="0A66C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35366693">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0309E9B3">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10</w:t>
            </w:r>
          </w:p>
        </w:tc>
        <w:tc>
          <w:tcPr>
            <w:tcW w:w="5964" w:type="dxa"/>
            <w:noWrap/>
            <w:vAlign w:val="center"/>
          </w:tcPr>
          <w:p w14:paraId="2E5738C4">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整合机器学习挖掘与孟德尔随机化验证的伊布替尼心脏不良反应机制及PTK2-YAP轴靶向干预研究</w:t>
            </w:r>
          </w:p>
        </w:tc>
        <w:tc>
          <w:tcPr>
            <w:tcW w:w="1842" w:type="dxa"/>
            <w:vAlign w:val="center"/>
          </w:tcPr>
          <w:p w14:paraId="63298EA5">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安徽省立医院</w:t>
            </w:r>
          </w:p>
        </w:tc>
        <w:tc>
          <w:tcPr>
            <w:tcW w:w="1497" w:type="dxa"/>
            <w:vAlign w:val="center"/>
          </w:tcPr>
          <w:p w14:paraId="4C523FCF">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冯钰斌</w:t>
            </w:r>
          </w:p>
        </w:tc>
      </w:tr>
      <w:tr w14:paraId="1792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24459EC3">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1DE8681F">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11</w:t>
            </w:r>
          </w:p>
        </w:tc>
        <w:tc>
          <w:tcPr>
            <w:tcW w:w="5964" w:type="dxa"/>
            <w:noWrap/>
            <w:vAlign w:val="center"/>
          </w:tcPr>
          <w:p w14:paraId="77EF3976">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线粒体外膜蛋白MTCH2调控ccRCC舒尼替尼耐药的机制研究</w:t>
            </w:r>
          </w:p>
        </w:tc>
        <w:tc>
          <w:tcPr>
            <w:tcW w:w="1842" w:type="dxa"/>
            <w:vAlign w:val="center"/>
          </w:tcPr>
          <w:p w14:paraId="2F7C59A8">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中山大学附属第三医院</w:t>
            </w:r>
          </w:p>
        </w:tc>
        <w:tc>
          <w:tcPr>
            <w:tcW w:w="1497" w:type="dxa"/>
            <w:vAlign w:val="center"/>
          </w:tcPr>
          <w:p w14:paraId="50884A30">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赵薪苑</w:t>
            </w:r>
          </w:p>
        </w:tc>
      </w:tr>
      <w:tr w14:paraId="7D8B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7A2FB3C4">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13104F1B">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12</w:t>
            </w:r>
          </w:p>
        </w:tc>
        <w:tc>
          <w:tcPr>
            <w:tcW w:w="5964" w:type="dxa"/>
            <w:noWrap/>
            <w:vAlign w:val="center"/>
          </w:tcPr>
          <w:p w14:paraId="73B77DAC">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阿替利珠单抗术后辅助治疗可切除非小细胞肺癌的真实世界临床综合评价</w:t>
            </w:r>
          </w:p>
        </w:tc>
        <w:tc>
          <w:tcPr>
            <w:tcW w:w="1842" w:type="dxa"/>
            <w:vAlign w:val="center"/>
          </w:tcPr>
          <w:p w14:paraId="615D1888">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深圳市人民医院</w:t>
            </w:r>
          </w:p>
        </w:tc>
        <w:tc>
          <w:tcPr>
            <w:tcW w:w="1497" w:type="dxa"/>
            <w:vAlign w:val="center"/>
          </w:tcPr>
          <w:p w14:paraId="4B830CB8">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古嘉瑜</w:t>
            </w:r>
          </w:p>
        </w:tc>
      </w:tr>
      <w:tr w14:paraId="5443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79C0AF29">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700CB8D8">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13</w:t>
            </w:r>
          </w:p>
        </w:tc>
        <w:tc>
          <w:tcPr>
            <w:tcW w:w="5964" w:type="dxa"/>
            <w:noWrap/>
            <w:vAlign w:val="center"/>
          </w:tcPr>
          <w:p w14:paraId="331C2789">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基于“小模型+大模型”协作的脓毒症抗生素辅助决策智能体构建与验证</w:t>
            </w:r>
          </w:p>
        </w:tc>
        <w:tc>
          <w:tcPr>
            <w:tcW w:w="1842" w:type="dxa"/>
            <w:vAlign w:val="center"/>
          </w:tcPr>
          <w:p w14:paraId="5A25905B">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华中科技大学同济医学院附属协和医院</w:t>
            </w:r>
          </w:p>
        </w:tc>
        <w:tc>
          <w:tcPr>
            <w:tcW w:w="1497" w:type="dxa"/>
            <w:vAlign w:val="center"/>
          </w:tcPr>
          <w:p w14:paraId="6E1FC7E0">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余育林</w:t>
            </w:r>
          </w:p>
        </w:tc>
      </w:tr>
      <w:tr w14:paraId="1F12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483E84DC">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217BCE61">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14</w:t>
            </w:r>
          </w:p>
        </w:tc>
        <w:tc>
          <w:tcPr>
            <w:tcW w:w="5964" w:type="dxa"/>
            <w:noWrap/>
            <w:vAlign w:val="center"/>
          </w:tcPr>
          <w:p w14:paraId="3C685784">
            <w:pPr>
              <w:spacing w:line="380" w:lineRule="exact"/>
              <w:jc w:val="center"/>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HER2-ADC联合TKI的疗效与安全性评价及</w:t>
            </w:r>
          </w:p>
          <w:p w14:paraId="25A92CA4">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融合量效机制的AI精准用药模型构建研究</w:t>
            </w:r>
          </w:p>
        </w:tc>
        <w:tc>
          <w:tcPr>
            <w:tcW w:w="1842" w:type="dxa"/>
            <w:vAlign w:val="center"/>
          </w:tcPr>
          <w:p w14:paraId="66225B67">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湘雅医院</w:t>
            </w:r>
          </w:p>
        </w:tc>
        <w:tc>
          <w:tcPr>
            <w:tcW w:w="1497" w:type="dxa"/>
            <w:vAlign w:val="center"/>
          </w:tcPr>
          <w:p w14:paraId="4F1977BA">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马俊龙</w:t>
            </w:r>
          </w:p>
        </w:tc>
      </w:tr>
      <w:tr w14:paraId="703E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35A74CC6">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6E391A0C">
            <w:pPr>
              <w:spacing w:line="380" w:lineRule="exact"/>
              <w:jc w:val="center"/>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rPr>
              <w:t>1</w:t>
            </w:r>
            <w:r>
              <w:rPr>
                <w:rFonts w:hint="default" w:ascii="Times New Roman" w:hAnsi="Times New Roman" w:eastAsia="仿宋_GB2312" w:cs="Times New Roman"/>
                <w:sz w:val="28"/>
                <w:szCs w:val="28"/>
              </w:rPr>
              <w:t>5</w:t>
            </w:r>
          </w:p>
        </w:tc>
        <w:tc>
          <w:tcPr>
            <w:tcW w:w="5964" w:type="dxa"/>
            <w:noWrap/>
            <w:vAlign w:val="center"/>
          </w:tcPr>
          <w:p w14:paraId="1FA94190">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PBPK模型联合AI的SN-38载荷ADC严重</w:t>
            </w:r>
            <w:bookmarkStart w:id="0" w:name="_GoBack"/>
            <w:bookmarkEnd w:id="0"/>
            <w:r>
              <w:rPr>
                <w:rFonts w:hint="default" w:ascii="Times New Roman" w:hAnsi="Times New Roman" w:eastAsia="仿宋_GB2312" w:cs="Times New Roman"/>
                <w:sz w:val="28"/>
                <w:szCs w:val="28"/>
              </w:rPr>
              <w:t>毒性风险预警与精准药学监测研究</w:t>
            </w:r>
          </w:p>
        </w:tc>
        <w:tc>
          <w:tcPr>
            <w:tcW w:w="1842" w:type="dxa"/>
            <w:vAlign w:val="center"/>
          </w:tcPr>
          <w:p w14:paraId="3B44E6E3">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中南大学湘雅三医院</w:t>
            </w:r>
          </w:p>
        </w:tc>
        <w:tc>
          <w:tcPr>
            <w:tcW w:w="1497" w:type="dxa"/>
            <w:vAlign w:val="center"/>
          </w:tcPr>
          <w:p w14:paraId="5D5A676F">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况赟</w:t>
            </w:r>
          </w:p>
        </w:tc>
      </w:tr>
      <w:tr w14:paraId="5B9FB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10" w:type="dxa"/>
            <w:vMerge w:val="continue"/>
            <w:vAlign w:val="center"/>
          </w:tcPr>
          <w:p w14:paraId="08BE9BF7">
            <w:pPr>
              <w:spacing w:line="380" w:lineRule="exact"/>
              <w:jc w:val="center"/>
              <w:rPr>
                <w:rFonts w:hint="default" w:ascii="Times New Roman" w:hAnsi="Times New Roman" w:eastAsia="仿宋_GB2312" w:cs="Times New Roman"/>
                <w:sz w:val="28"/>
                <w:szCs w:val="28"/>
              </w:rPr>
            </w:pPr>
          </w:p>
        </w:tc>
        <w:tc>
          <w:tcPr>
            <w:tcW w:w="766" w:type="dxa"/>
            <w:noWrap/>
            <w:vAlign w:val="center"/>
          </w:tcPr>
          <w:p w14:paraId="13720AEE">
            <w:pPr>
              <w:spacing w:line="380" w:lineRule="exact"/>
              <w:jc w:val="center"/>
              <w:rPr>
                <w:rFonts w:hint="eastAsia" w:ascii="Times New Roman" w:hAnsi="Times New Roman" w:eastAsia="仿宋_GB2312" w:cs="Times New Roman"/>
                <w:sz w:val="28"/>
                <w:szCs w:val="28"/>
              </w:rPr>
            </w:pPr>
            <w:r>
              <w:rPr>
                <w:rFonts w:hint="eastAsia" w:ascii="Times New Roman" w:hAnsi="Times New Roman" w:eastAsia="仿宋_GB2312" w:cs="Times New Roman"/>
                <w:sz w:val="28"/>
                <w:szCs w:val="28"/>
              </w:rPr>
              <w:t>16</w:t>
            </w:r>
          </w:p>
        </w:tc>
        <w:tc>
          <w:tcPr>
            <w:tcW w:w="5964" w:type="dxa"/>
            <w:noWrap/>
            <w:vAlign w:val="center"/>
          </w:tcPr>
          <w:p w14:paraId="191A08C8">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基于TDM与药物基因组学的儿童异基因造血干细胞移植后伏立康唑精准用药方案优化及其超警戒浓度风险预测模型的建立</w:t>
            </w:r>
          </w:p>
        </w:tc>
        <w:tc>
          <w:tcPr>
            <w:tcW w:w="1842" w:type="dxa"/>
            <w:vAlign w:val="center"/>
          </w:tcPr>
          <w:p w14:paraId="16CF9C9A">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新疆维吾尔自治区人民医院</w:t>
            </w:r>
          </w:p>
        </w:tc>
        <w:tc>
          <w:tcPr>
            <w:tcW w:w="1497" w:type="dxa"/>
            <w:vAlign w:val="center"/>
          </w:tcPr>
          <w:p w14:paraId="35B77F69">
            <w:pPr>
              <w:spacing w:line="38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赵婷</w:t>
            </w:r>
          </w:p>
        </w:tc>
      </w:tr>
    </w:tbl>
    <w:p w14:paraId="381A4939">
      <w:pPr>
        <w:rPr>
          <w:rFonts w:hint="eastAsia" w:ascii="宋体" w:hAnsi="宋体"/>
          <w:b/>
          <w:szCs w:val="21"/>
        </w:rPr>
      </w:pPr>
    </w:p>
    <w:sectPr>
      <w:footerReference r:id="rId3" w:type="default"/>
      <w:pgSz w:w="11906" w:h="16838"/>
      <w:pgMar w:top="1440" w:right="1800" w:bottom="1440" w:left="1800"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国标小标宋-GB/T 2312">
    <w:panose1 w:val="02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B2D70">
    <w:pPr>
      <w:pStyle w:val="2"/>
      <w:jc w:val="center"/>
      <w:rPr>
        <w:rFonts w:ascii="Times New Roman" w:hAnsi="Times New Roman" w:cs="Times New Roman"/>
        <w:sz w:val="28"/>
        <w:szCs w:val="28"/>
      </w:rPr>
    </w:pPr>
  </w:p>
  <w:p w14:paraId="108ACB80">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68D"/>
    <w:rsid w:val="00092F20"/>
    <w:rsid w:val="00461752"/>
    <w:rsid w:val="004F168D"/>
    <w:rsid w:val="006F3D8C"/>
    <w:rsid w:val="00A620C1"/>
    <w:rsid w:val="00B01280"/>
    <w:rsid w:val="00B22D70"/>
    <w:rsid w:val="00C02BFE"/>
    <w:rsid w:val="00C031B0"/>
    <w:rsid w:val="00CB4A80"/>
    <w:rsid w:val="00D8409D"/>
    <w:rsid w:val="51341E8F"/>
    <w:rsid w:val="74DA5031"/>
    <w:rsid w:val="7E136EC4"/>
    <w:rsid w:val="7F9F12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paragraph" w:styleId="3">
    <w:name w:val="header"/>
    <w:basedOn w:val="1"/>
    <w:link w:val="7"/>
    <w:qFormat/>
    <w:uiPriority w:val="0"/>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483</Words>
  <Characters>513</Characters>
  <Lines>73</Lines>
  <Paragraphs>99</Paragraphs>
  <TotalTime>322</TotalTime>
  <ScaleCrop>false</ScaleCrop>
  <LinksUpToDate>false</LinksUpToDate>
  <CharactersWithSpaces>897</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2026-09-07T10:42:00Z</dcterms:created>
  <dc:creator>ly</dc:creator>
  <cp:lastModifiedBy>kylin</cp:lastModifiedBy>
  <dcterms:modified xsi:type="dcterms:W3CDTF">2026-09-11T08:58:19Z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C514CC57C56D456DBA36FFA6A978F6EA</vt:lpwstr>
  </property>
</Properties>
</file>